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A0D" w:rsidRDefault="00AA1A0D"/>
    <w:p w:rsidR="00D548C8" w:rsidRDefault="00D548C8" w:rsidP="00D548C8">
      <w:pPr>
        <w:pStyle w:val="a4"/>
        <w:numPr>
          <w:ilvl w:val="0"/>
          <w:numId w:val="1"/>
        </w:numPr>
        <w:ind w:left="360"/>
      </w:pPr>
      <w:r>
        <w:rPr>
          <w:rFonts w:ascii="宋体" w:hAnsi="宋体" w:hint="eastAsia"/>
        </w:rPr>
        <w:t>教授中英文姓名</w:t>
      </w:r>
    </w:p>
    <w:p w:rsidR="00D548C8" w:rsidRDefault="00D548C8" w:rsidP="00D548C8">
      <w:pPr>
        <w:pStyle w:val="a4"/>
        <w:numPr>
          <w:ilvl w:val="1"/>
          <w:numId w:val="1"/>
        </w:numPr>
        <w:ind w:left="840"/>
      </w:pPr>
      <w:r>
        <w:rPr>
          <w:rFonts w:ascii="宋体" w:hAnsi="宋体" w:hint="eastAsia"/>
        </w:rPr>
        <w:t>Chung-Ching Morgan Wang</w:t>
      </w:r>
    </w:p>
    <w:p w:rsidR="00D548C8" w:rsidRDefault="00D548C8" w:rsidP="00D548C8">
      <w:pPr>
        <w:pStyle w:val="a4"/>
        <w:numPr>
          <w:ilvl w:val="1"/>
          <w:numId w:val="1"/>
        </w:numPr>
        <w:ind w:left="840"/>
      </w:pPr>
      <w:r>
        <w:rPr>
          <w:rFonts w:hint="eastAsia"/>
          <w:b/>
          <w:snapToGrid w:val="0"/>
          <w:sz w:val="32"/>
          <w:szCs w:val="32"/>
        </w:rPr>
        <w:t>王中庆</w:t>
      </w:r>
    </w:p>
    <w:p w:rsidR="00D548C8" w:rsidRDefault="00D548C8" w:rsidP="00D548C8">
      <w:pPr>
        <w:pStyle w:val="a4"/>
        <w:numPr>
          <w:ilvl w:val="0"/>
          <w:numId w:val="1"/>
        </w:numPr>
        <w:ind w:left="360"/>
      </w:pPr>
      <w:r>
        <w:rPr>
          <w:rFonts w:ascii="宋体" w:hAnsi="宋体" w:hint="eastAsia"/>
        </w:rPr>
        <w:t>课程中英文名称</w:t>
      </w:r>
    </w:p>
    <w:p w:rsidR="00D548C8" w:rsidRDefault="00D548C8" w:rsidP="00D548C8">
      <w:pPr>
        <w:pStyle w:val="a4"/>
        <w:numPr>
          <w:ilvl w:val="1"/>
          <w:numId w:val="1"/>
        </w:numPr>
        <w:ind w:left="840"/>
      </w:pPr>
      <w:r>
        <w:t>Big Data Analytics – A Practical Approach</w:t>
      </w:r>
    </w:p>
    <w:p w:rsidR="00D548C8" w:rsidRDefault="00D548C8" w:rsidP="00D548C8">
      <w:pPr>
        <w:pStyle w:val="a4"/>
        <w:numPr>
          <w:ilvl w:val="1"/>
          <w:numId w:val="1"/>
        </w:numPr>
        <w:ind w:left="840"/>
      </w:pPr>
      <w:proofErr w:type="gramStart"/>
      <w:r>
        <w:rPr>
          <w:rFonts w:hint="eastAsia"/>
        </w:rPr>
        <w:t>实用大</w:t>
      </w:r>
      <w:proofErr w:type="gramEnd"/>
      <w:r>
        <w:rPr>
          <w:rFonts w:hint="eastAsia"/>
        </w:rPr>
        <w:t>数据分析</w:t>
      </w:r>
    </w:p>
    <w:p w:rsidR="00D548C8" w:rsidRDefault="00D548C8" w:rsidP="00D548C8">
      <w:pPr>
        <w:rPr>
          <w:rFonts w:ascii="宋体" w:hAnsi="宋体" w:cs="宋体" w:hint="eastAsia"/>
          <w:sz w:val="21"/>
          <w:szCs w:val="21"/>
          <w:lang w:eastAsia="zh-CN"/>
        </w:rPr>
      </w:pPr>
    </w:p>
    <w:p w:rsidR="00D548C8" w:rsidRDefault="00D548C8" w:rsidP="00D548C8">
      <w:pPr>
        <w:pStyle w:val="a4"/>
        <w:numPr>
          <w:ilvl w:val="0"/>
          <w:numId w:val="1"/>
        </w:numPr>
        <w:ind w:left="360"/>
      </w:pPr>
      <w:r>
        <w:rPr>
          <w:rFonts w:ascii="宋体" w:hAnsi="宋体" w:hint="eastAsia"/>
        </w:rPr>
        <w:t>课程简介（英文）</w:t>
      </w:r>
    </w:p>
    <w:p w:rsidR="00D548C8" w:rsidRDefault="00D548C8" w:rsidP="00D548C8">
      <w:pPr>
        <w:pStyle w:val="a3"/>
        <w:spacing w:line="276" w:lineRule="auto"/>
        <w:ind w:left="420"/>
        <w:rPr>
          <w:rFonts w:eastAsia="Arial Unicode MS"/>
          <w:vanish/>
          <w:szCs w:val="24"/>
        </w:rPr>
      </w:pPr>
      <w:r>
        <w:rPr>
          <w:szCs w:val="24"/>
        </w:rPr>
        <w:t xml:space="preserve">“Big Data Analytics – A Practical Approach” is a course covered many analytical techniques that include machine learning, statistical learning, database management, and unstructured preparation.  In this introduction course, the focus is on supervised learning techniques with many case studies from finance, marketing, and customer relationship management. </w:t>
      </w:r>
    </w:p>
    <w:p w:rsidR="00D548C8" w:rsidRDefault="00D548C8" w:rsidP="00D548C8">
      <w:pPr>
        <w:pStyle w:val="a4"/>
        <w:numPr>
          <w:ilvl w:val="0"/>
          <w:numId w:val="1"/>
        </w:numPr>
        <w:ind w:left="420" w:firstLine="0"/>
        <w:rPr>
          <w:rFonts w:ascii="Times New Roman" w:hAnsi="Times New Roman" w:cs="Times New Roman"/>
        </w:rPr>
      </w:pPr>
      <w:proofErr w:type="gramStart"/>
      <w:r>
        <w:rPr>
          <w:rFonts w:ascii="Times New Roman" w:hAnsi="Times New Roman" w:cs="Times New Roman"/>
          <w:spacing w:val="-3"/>
          <w:sz w:val="24"/>
          <w:szCs w:val="24"/>
        </w:rPr>
        <w:t>applying</w:t>
      </w:r>
      <w:proofErr w:type="gramEnd"/>
      <w:r>
        <w:rPr>
          <w:rFonts w:ascii="Times New Roman" w:hAnsi="Times New Roman" w:cs="Times New Roman"/>
          <w:spacing w:val="-3"/>
          <w:sz w:val="24"/>
          <w:szCs w:val="24"/>
        </w:rPr>
        <w:t xml:space="preserve"> supervised learning techniques in big data environment, analysts can fully exploit data patterns and behavior, and gain understanding of the inside of the data.  </w:t>
      </w:r>
      <w:r>
        <w:rPr>
          <w:rFonts w:ascii="Times New Roman" w:hAnsi="Times New Roman" w:cs="Times New Roman"/>
          <w:sz w:val="24"/>
          <w:szCs w:val="24"/>
        </w:rPr>
        <w:t>This course includes the following eight lectures written by instructor.</w:t>
      </w:r>
    </w:p>
    <w:p w:rsidR="00D548C8" w:rsidRDefault="00D548C8" w:rsidP="00D548C8">
      <w:pPr>
        <w:pStyle w:val="a4"/>
        <w:ind w:left="420" w:firstLine="0"/>
        <w:rPr>
          <w:rFonts w:ascii="Times New Roman" w:hAnsi="Times New Roman" w:cs="Times New Roman"/>
          <w:sz w:val="24"/>
          <w:szCs w:val="24"/>
        </w:rPr>
      </w:pPr>
    </w:p>
    <w:tbl>
      <w:tblPr>
        <w:tblW w:w="0" w:type="auto"/>
        <w:tblInd w:w="-10" w:type="dxa"/>
        <w:tblLook w:val="04A0" w:firstRow="1" w:lastRow="0" w:firstColumn="1" w:lastColumn="0" w:noHBand="0" w:noVBand="1"/>
      </w:tblPr>
      <w:tblGrid>
        <w:gridCol w:w="2552"/>
        <w:gridCol w:w="3827"/>
        <w:gridCol w:w="1917"/>
      </w:tblGrid>
      <w:tr w:rsidR="00096494" w:rsidRPr="00096494" w:rsidTr="00096494">
        <w:trPr>
          <w:trHeight w:val="33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96494" w:rsidRPr="00096494" w:rsidRDefault="00096494" w:rsidP="00096494">
            <w:pPr>
              <w:spacing w:after="0" w:line="240" w:lineRule="auto"/>
              <w:jc w:val="center"/>
              <w:rPr>
                <w:rFonts w:ascii="Calibri" w:hAnsi="Calibri" w:cs="宋体"/>
                <w:b/>
                <w:bCs/>
                <w:color w:val="000000"/>
                <w:sz w:val="24"/>
                <w:szCs w:val="24"/>
                <w:lang w:eastAsia="zh-CN"/>
              </w:rPr>
            </w:pPr>
            <w:r w:rsidRPr="00096494">
              <w:rPr>
                <w:rFonts w:ascii="Calibri" w:hAnsi="Calibri" w:cs="宋体"/>
                <w:b/>
                <w:bCs/>
                <w:color w:val="000000"/>
                <w:sz w:val="24"/>
                <w:szCs w:val="24"/>
                <w:lang w:eastAsia="zh-CN"/>
              </w:rPr>
              <w:t>Tentative Lecture Outline</w:t>
            </w:r>
          </w:p>
        </w:tc>
      </w:tr>
      <w:tr w:rsidR="00096494" w:rsidRPr="00096494" w:rsidTr="00096494">
        <w:trPr>
          <w:trHeight w:val="389"/>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b/>
                <w:bCs/>
                <w:color w:val="000000"/>
                <w:sz w:val="24"/>
                <w:szCs w:val="24"/>
                <w:lang w:eastAsia="zh-CN"/>
              </w:rPr>
            </w:pPr>
            <w:r w:rsidRPr="00096494">
              <w:rPr>
                <w:rFonts w:ascii="Calibri" w:hAnsi="Calibri" w:cs="宋体"/>
                <w:b/>
                <w:bCs/>
                <w:color w:val="000000"/>
                <w:sz w:val="24"/>
                <w:szCs w:val="24"/>
                <w:lang w:eastAsia="zh-CN"/>
              </w:rPr>
              <w:t>Type</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b/>
                <w:bCs/>
                <w:color w:val="000000"/>
                <w:sz w:val="24"/>
                <w:szCs w:val="24"/>
                <w:lang w:eastAsia="zh-CN"/>
              </w:rPr>
            </w:pPr>
            <w:r w:rsidRPr="00096494">
              <w:rPr>
                <w:rFonts w:ascii="Calibri" w:hAnsi="Calibri" w:cs="宋体"/>
                <w:b/>
                <w:bCs/>
                <w:color w:val="000000"/>
                <w:sz w:val="24"/>
                <w:szCs w:val="24"/>
                <w:lang w:eastAsia="zh-CN"/>
              </w:rPr>
              <w:t>Lecture Title</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b/>
                <w:bCs/>
                <w:color w:val="000000"/>
                <w:sz w:val="24"/>
                <w:szCs w:val="24"/>
                <w:lang w:eastAsia="zh-CN"/>
              </w:rPr>
            </w:pPr>
            <w:r w:rsidRPr="00096494">
              <w:rPr>
                <w:rFonts w:ascii="Calibri" w:hAnsi="Calibri" w:cs="宋体"/>
                <w:b/>
                <w:bCs/>
                <w:color w:val="000000"/>
                <w:sz w:val="24"/>
                <w:szCs w:val="24"/>
                <w:lang w:eastAsia="zh-CN"/>
              </w:rPr>
              <w:t>Instruction Hour</w:t>
            </w:r>
          </w:p>
        </w:tc>
      </w:tr>
      <w:tr w:rsidR="00096494" w:rsidRPr="00096494" w:rsidTr="00096494">
        <w:trPr>
          <w:trHeight w:val="395"/>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Analytical Tool</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Using Enterprise Miner</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6 Hours</w:t>
            </w:r>
          </w:p>
        </w:tc>
      </w:tr>
      <w:tr w:rsidR="00096494" w:rsidRPr="00096494" w:rsidTr="00096494">
        <w:trPr>
          <w:trHeight w:val="840"/>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 xml:space="preserve">Supervised Learning I </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Theoretical Foundation of Decision Trees</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3 Hours</w:t>
            </w:r>
          </w:p>
        </w:tc>
      </w:tr>
      <w:tr w:rsidR="00096494" w:rsidRPr="00096494" w:rsidTr="00096494">
        <w:trPr>
          <w:trHeight w:val="696"/>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Supervised Learning II</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Data Preparation and Exploration using Decision Trees</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3 Hours</w:t>
            </w:r>
          </w:p>
        </w:tc>
      </w:tr>
      <w:tr w:rsidR="00096494" w:rsidRPr="00096494" w:rsidTr="00096494">
        <w:trPr>
          <w:trHeight w:val="820"/>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Supervised Learning III</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 xml:space="preserve">Decision Tree Modeling - Boosting and Bagging </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3 Hours</w:t>
            </w:r>
          </w:p>
        </w:tc>
      </w:tr>
      <w:tr w:rsidR="00096494" w:rsidRPr="00096494" w:rsidTr="00096494">
        <w:trPr>
          <w:trHeight w:val="407"/>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Supervised Learning IV</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Regression Review</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4 Hours</w:t>
            </w:r>
          </w:p>
        </w:tc>
      </w:tr>
      <w:tr w:rsidR="00096494" w:rsidRPr="00096494" w:rsidTr="00096494">
        <w:trPr>
          <w:trHeight w:val="403"/>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Supervised Learning V</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Logistic Regression Review</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4 Hours</w:t>
            </w:r>
          </w:p>
        </w:tc>
      </w:tr>
      <w:tr w:rsidR="00096494" w:rsidRPr="00096494" w:rsidTr="00096494">
        <w:trPr>
          <w:trHeight w:val="689"/>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Model Assessment</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jc w:val="both"/>
              <w:rPr>
                <w:rFonts w:ascii="Calibri" w:hAnsi="Calibri" w:cs="宋体"/>
                <w:color w:val="000000"/>
                <w:sz w:val="24"/>
                <w:szCs w:val="24"/>
                <w:lang w:eastAsia="zh-CN"/>
              </w:rPr>
            </w:pPr>
            <w:r w:rsidRPr="00096494">
              <w:rPr>
                <w:rFonts w:ascii="Calibri" w:hAnsi="Calibri" w:cs="宋体"/>
                <w:color w:val="000000"/>
                <w:sz w:val="24"/>
                <w:szCs w:val="24"/>
                <w:lang w:eastAsia="zh-CN"/>
              </w:rPr>
              <w:t>Model Assessment and Optimal Decision Making</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4 Hours</w:t>
            </w:r>
          </w:p>
        </w:tc>
      </w:tr>
      <w:tr w:rsidR="00096494" w:rsidRPr="00096494" w:rsidTr="00096494">
        <w:trPr>
          <w:trHeight w:val="122"/>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Supervised Learning VI</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jc w:val="both"/>
              <w:rPr>
                <w:rFonts w:ascii="Calibri" w:hAnsi="Calibri" w:cs="宋体"/>
                <w:color w:val="000000"/>
                <w:sz w:val="24"/>
                <w:szCs w:val="24"/>
                <w:lang w:eastAsia="zh-CN"/>
              </w:rPr>
            </w:pPr>
            <w:r w:rsidRPr="00096494">
              <w:rPr>
                <w:rFonts w:ascii="Calibri" w:hAnsi="Calibri" w:cs="宋体"/>
                <w:color w:val="000000"/>
                <w:sz w:val="24"/>
                <w:szCs w:val="24"/>
                <w:lang w:eastAsia="zh-CN"/>
              </w:rPr>
              <w:t>Double Target Modeling</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6 Hours</w:t>
            </w:r>
          </w:p>
        </w:tc>
      </w:tr>
      <w:tr w:rsidR="00096494" w:rsidRPr="00096494" w:rsidTr="00096494">
        <w:trPr>
          <w:trHeight w:val="264"/>
        </w:trPr>
        <w:tc>
          <w:tcPr>
            <w:tcW w:w="2552" w:type="dxa"/>
            <w:tcBorders>
              <w:top w:val="nil"/>
              <w:left w:val="single" w:sz="8" w:space="0" w:color="auto"/>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Supervised Learning VII</w:t>
            </w:r>
          </w:p>
        </w:tc>
        <w:tc>
          <w:tcPr>
            <w:tcW w:w="382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jc w:val="both"/>
              <w:rPr>
                <w:rFonts w:ascii="Calibri" w:hAnsi="Calibri" w:cs="宋体"/>
                <w:color w:val="000000"/>
                <w:sz w:val="24"/>
                <w:szCs w:val="24"/>
                <w:lang w:eastAsia="zh-CN"/>
              </w:rPr>
            </w:pPr>
            <w:r w:rsidRPr="00096494">
              <w:rPr>
                <w:rFonts w:ascii="Calibri" w:hAnsi="Calibri" w:cs="宋体"/>
                <w:color w:val="000000"/>
                <w:sz w:val="24"/>
                <w:szCs w:val="24"/>
                <w:lang w:eastAsia="zh-CN"/>
              </w:rPr>
              <w:t>Introduction to Nonlinear Modeling</w:t>
            </w:r>
          </w:p>
        </w:tc>
        <w:tc>
          <w:tcPr>
            <w:tcW w:w="1917" w:type="dxa"/>
            <w:tcBorders>
              <w:top w:val="nil"/>
              <w:left w:val="nil"/>
              <w:bottom w:val="single" w:sz="8" w:space="0" w:color="auto"/>
              <w:right w:val="single" w:sz="8" w:space="0" w:color="auto"/>
            </w:tcBorders>
            <w:shd w:val="clear" w:color="auto" w:fill="auto"/>
            <w:vAlign w:val="center"/>
            <w:hideMark/>
          </w:tcPr>
          <w:p w:rsidR="00096494" w:rsidRPr="00096494" w:rsidRDefault="00096494" w:rsidP="00096494">
            <w:pPr>
              <w:spacing w:after="0" w:line="240" w:lineRule="auto"/>
              <w:rPr>
                <w:rFonts w:ascii="Calibri" w:hAnsi="Calibri" w:cs="宋体"/>
                <w:color w:val="000000"/>
                <w:sz w:val="24"/>
                <w:szCs w:val="24"/>
                <w:lang w:eastAsia="zh-CN"/>
              </w:rPr>
            </w:pPr>
            <w:r w:rsidRPr="00096494">
              <w:rPr>
                <w:rFonts w:ascii="Calibri" w:hAnsi="Calibri" w:cs="宋体"/>
                <w:color w:val="000000"/>
                <w:sz w:val="24"/>
                <w:szCs w:val="24"/>
                <w:lang w:eastAsia="zh-CN"/>
              </w:rPr>
              <w:t>3 Hours</w:t>
            </w:r>
          </w:p>
        </w:tc>
      </w:tr>
    </w:tbl>
    <w:p w:rsidR="00D548C8" w:rsidRPr="00096494" w:rsidRDefault="00D548C8" w:rsidP="00096494">
      <w:pPr>
        <w:rPr>
          <w:rFonts w:ascii="Times New Roman" w:hAnsi="Times New Roman" w:cs="Times New Roman" w:hint="eastAsia"/>
          <w:sz w:val="24"/>
          <w:szCs w:val="24"/>
        </w:rPr>
      </w:pPr>
    </w:p>
    <w:p w:rsidR="00D548C8" w:rsidRDefault="00D548C8" w:rsidP="00D548C8">
      <w:pPr>
        <w:pStyle w:val="a4"/>
        <w:ind w:left="420" w:firstLine="0"/>
        <w:rPr>
          <w:rFonts w:ascii="Times New Roman" w:hAnsi="Times New Roman" w:cs="Times New Roman"/>
        </w:rPr>
      </w:pPr>
    </w:p>
    <w:p w:rsidR="00D548C8" w:rsidRDefault="00D548C8" w:rsidP="00D548C8">
      <w:bookmarkStart w:id="0" w:name="_GoBack"/>
      <w:bookmarkEnd w:id="0"/>
    </w:p>
    <w:p w:rsidR="00D548C8" w:rsidRDefault="00D548C8" w:rsidP="00D548C8">
      <w:pPr>
        <w:rPr>
          <w:rFonts w:ascii="宋体" w:hAnsi="宋体" w:cs="宋体"/>
          <w:sz w:val="21"/>
          <w:szCs w:val="21"/>
          <w:lang w:eastAsia="zh-CN"/>
        </w:rPr>
      </w:pPr>
      <w:r>
        <w:rPr>
          <w:rFonts w:ascii="宋体" w:hAnsi="宋体" w:hint="eastAsia"/>
        </w:rPr>
        <w:br w:type="page"/>
      </w:r>
    </w:p>
    <w:p w:rsidR="00D548C8" w:rsidRDefault="00D548C8" w:rsidP="00D548C8">
      <w:pPr>
        <w:pStyle w:val="a4"/>
        <w:numPr>
          <w:ilvl w:val="0"/>
          <w:numId w:val="1"/>
        </w:numPr>
        <w:ind w:left="360"/>
      </w:pPr>
      <w:r>
        <w:rPr>
          <w:rFonts w:ascii="宋体" w:hAnsi="宋体" w:hint="eastAsia"/>
        </w:rPr>
        <w:lastRenderedPageBreak/>
        <w:t>教授本人简介（英文）</w:t>
      </w:r>
      <w:r>
        <w:t xml:space="preserve"> </w:t>
      </w:r>
    </w:p>
    <w:p w:rsidR="00D548C8" w:rsidRDefault="00D548C8" w:rsidP="00D548C8">
      <w:pPr>
        <w:rPr>
          <w:lang w:eastAsia="zh-CN"/>
        </w:rPr>
      </w:pPr>
    </w:p>
    <w:p w:rsidR="00D548C8" w:rsidRDefault="00D548C8" w:rsidP="00D548C8">
      <w:pPr>
        <w:jc w:val="both"/>
        <w:rPr>
          <w:rFonts w:ascii="Times New Roman" w:hAnsi="Times New Roman"/>
          <w:bCs/>
        </w:rPr>
      </w:pPr>
      <w:r>
        <w:rPr>
          <w:rFonts w:ascii="Times New Roman" w:hAnsi="Times New Roman"/>
          <w:b/>
        </w:rPr>
        <w:t xml:space="preserve">Morgan C. Wang </w:t>
      </w:r>
      <w:r>
        <w:rPr>
          <w:rFonts w:ascii="Times New Roman" w:hAnsi="Times New Roman"/>
          <w:bCs/>
        </w:rPr>
        <w:t>received his Ph.D. from Iowa State University in 1991.  He is the funding Director of Data Mining Program and Professor of Statistics at the University of Central Florida.  He has published one book (Integrating Results through Meta-Analytic Review Using SAS Software, SAS Institute, 1999),</w:t>
      </w:r>
      <w:r>
        <w:rPr>
          <w:rFonts w:ascii="Times New Roman" w:hAnsi="Times New Roman"/>
          <w:b/>
        </w:rPr>
        <w:t xml:space="preserve"> </w:t>
      </w:r>
      <w:r>
        <w:rPr>
          <w:rFonts w:ascii="Times New Roman" w:hAnsi="Times New Roman"/>
          <w:bCs/>
        </w:rPr>
        <w:t>and over 80 papers in referee journals and conference proceedings on topics including interval analysis, meta-analysis, computer security, business analytics, health care analytics and data mining. He is the elected member of International Statistical Association and member of American Statistical Association and International Chinese Statistical Association.</w:t>
      </w:r>
    </w:p>
    <w:p w:rsidR="00D548C8" w:rsidRDefault="00D548C8" w:rsidP="00D548C8">
      <w:pPr>
        <w:jc w:val="both"/>
        <w:rPr>
          <w:rFonts w:ascii="Times New Roman" w:hAnsi="Times New Roman"/>
          <w:bCs/>
        </w:rPr>
      </w:pPr>
    </w:p>
    <w:p w:rsidR="00D548C8" w:rsidRDefault="00D548C8" w:rsidP="00D548C8">
      <w:pPr>
        <w:jc w:val="both"/>
        <w:rPr>
          <w:rFonts w:ascii="Times New Roman" w:hAnsi="Times New Roman"/>
          <w:spacing w:val="-3"/>
        </w:rPr>
      </w:pPr>
      <w:r>
        <w:rPr>
          <w:rFonts w:ascii="Times New Roman" w:hAnsi="Times New Roman"/>
          <w:bCs/>
        </w:rPr>
        <w:t>He couched student teams to win the 2011 and 2012 SAS Data Mining Shootout Contest.  He won the best conference award in the First Annual Conference on Engineering and Technology Innovation in 2008.  He was the first prize-winner in Data Mining Competition of the 11</w:t>
      </w:r>
      <w:r>
        <w:rPr>
          <w:rFonts w:ascii="Times New Roman" w:hAnsi="Times New Roman"/>
          <w:bCs/>
          <w:vertAlign w:val="superscript"/>
        </w:rPr>
        <w:t>th</w:t>
      </w:r>
      <w:r>
        <w:rPr>
          <w:rFonts w:ascii="Times New Roman" w:hAnsi="Times New Roman"/>
          <w:bCs/>
        </w:rPr>
        <w:t xml:space="preserve"> SIGMOD KDD (the most predigest data mining competition) conference in 2004 and the first prize winner in Data Visualization Contest of SUGI 25 conference in 2000, and was given invited talks on making intelligent decision based on big data analytics for more than eighty times for </w:t>
      </w:r>
      <w:r>
        <w:rPr>
          <w:rFonts w:ascii="Times New Roman" w:hAnsi="Times New Roman"/>
          <w:spacing w:val="-3"/>
        </w:rPr>
        <w:t xml:space="preserve">American Statistical Association, SIGKDD (leading conference in data mining), International Conference on Information Technology, SAS Global Forum, Well Fargo Bank, </w:t>
      </w:r>
      <w:proofErr w:type="spellStart"/>
      <w:r>
        <w:rPr>
          <w:rFonts w:ascii="Times New Roman" w:hAnsi="Times New Roman"/>
          <w:spacing w:val="-3"/>
        </w:rPr>
        <w:t>Everbank</w:t>
      </w:r>
      <w:proofErr w:type="spellEnd"/>
      <w:r>
        <w:rPr>
          <w:rFonts w:ascii="Times New Roman" w:hAnsi="Times New Roman"/>
          <w:spacing w:val="-3"/>
        </w:rPr>
        <w:t xml:space="preserve">, Republic Bank, Florida Blue, Disney, Kemper Preferred Auto Insurance, </w:t>
      </w:r>
      <w:proofErr w:type="spellStart"/>
      <w:r>
        <w:rPr>
          <w:rFonts w:ascii="Times New Roman" w:hAnsi="Times New Roman"/>
          <w:spacing w:val="-3"/>
        </w:rPr>
        <w:t>HealthFirst</w:t>
      </w:r>
      <w:proofErr w:type="spellEnd"/>
      <w:r>
        <w:rPr>
          <w:rFonts w:ascii="Times New Roman" w:hAnsi="Times New Roman"/>
          <w:spacing w:val="-3"/>
        </w:rPr>
        <w:t xml:space="preserve">, QFOR, and many companies and universities around the world.  </w:t>
      </w:r>
    </w:p>
    <w:p w:rsidR="00D548C8" w:rsidRDefault="00D548C8" w:rsidP="00D548C8">
      <w:pPr>
        <w:jc w:val="both"/>
        <w:rPr>
          <w:rFonts w:ascii="Times New Roman" w:hAnsi="Times New Roman"/>
          <w:spacing w:val="-3"/>
        </w:rPr>
      </w:pPr>
    </w:p>
    <w:p w:rsidR="00D548C8" w:rsidRDefault="00D548C8" w:rsidP="00D548C8">
      <w:pPr>
        <w:jc w:val="both"/>
        <w:rPr>
          <w:rFonts w:ascii="Times New Roman" w:hAnsi="Times New Roman"/>
          <w:spacing w:val="-3"/>
        </w:rPr>
      </w:pPr>
      <w:r>
        <w:rPr>
          <w:rFonts w:ascii="Times New Roman" w:hAnsi="Times New Roman"/>
          <w:spacing w:val="-3"/>
        </w:rPr>
        <w:t xml:space="preserve">Dr. Wang is an active big data analyst.    He provides complete analytical services to help business community to maximize their customers' life time values through using data mining and advance big data analytical techniques.  Selected service areas provided by his team including the following: </w:t>
      </w:r>
    </w:p>
    <w:p w:rsidR="00D548C8" w:rsidRDefault="00D548C8" w:rsidP="00D548C8">
      <w:pPr>
        <w:jc w:val="both"/>
        <w:rPr>
          <w:rFonts w:ascii="Times New Roman" w:hAnsi="Times New Roman"/>
          <w:spacing w:val="-3"/>
        </w:rPr>
      </w:pP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 xml:space="preserve">Working with </w:t>
      </w:r>
      <w:proofErr w:type="spellStart"/>
      <w:r>
        <w:rPr>
          <w:rFonts w:ascii="Times New Roman" w:hAnsi="Times New Roman"/>
          <w:spacing w:val="-3"/>
        </w:rPr>
        <w:t>Everbank</w:t>
      </w:r>
      <w:proofErr w:type="spellEnd"/>
      <w:r>
        <w:rPr>
          <w:rFonts w:ascii="Times New Roman" w:hAnsi="Times New Roman"/>
          <w:spacing w:val="-3"/>
        </w:rPr>
        <w:t xml:space="preserve"> to sponsor </w:t>
      </w:r>
      <w:proofErr w:type="spellStart"/>
      <w:r>
        <w:rPr>
          <w:rFonts w:ascii="Times New Roman" w:hAnsi="Times New Roman"/>
          <w:spacing w:val="-3"/>
        </w:rPr>
        <w:t>Everbank</w:t>
      </w:r>
      <w:proofErr w:type="spellEnd"/>
      <w:r>
        <w:rPr>
          <w:rFonts w:ascii="Times New Roman" w:hAnsi="Times New Roman"/>
          <w:spacing w:val="-3"/>
        </w:rPr>
        <w:t xml:space="preserve"> Blue Cup Annual Big Data Competition</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Working with OCPS and QFOR on building Adapted Learning and Assessment System and Stem Effectiveness research</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Working with ICUBE on the development of Big Data Analytical Solutions such as “System on detecting suspicious employee behavior using computer log file</w:t>
      </w:r>
      <w:r>
        <w:rPr>
          <w:rFonts w:ascii="Times New Roman" w:hAnsi="Times New Roman"/>
          <w:b/>
          <w:spacing w:val="-3"/>
        </w:rPr>
        <w:t xml:space="preserve">” </w:t>
      </w:r>
      <w:r>
        <w:rPr>
          <w:rFonts w:ascii="Times New Roman" w:hAnsi="Times New Roman"/>
          <w:spacing w:val="-3"/>
        </w:rPr>
        <w:t>and “Optimal Customer Segmentation System” since 2015</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 xml:space="preserve">Provide the consultation services to </w:t>
      </w:r>
      <w:proofErr w:type="spellStart"/>
      <w:r>
        <w:rPr>
          <w:rFonts w:ascii="Times New Roman" w:hAnsi="Times New Roman"/>
          <w:spacing w:val="-3"/>
        </w:rPr>
        <w:t>HealthFirst</w:t>
      </w:r>
      <w:proofErr w:type="spellEnd"/>
      <w:r>
        <w:rPr>
          <w:rFonts w:ascii="Times New Roman" w:hAnsi="Times New Roman"/>
          <w:spacing w:val="-3"/>
        </w:rPr>
        <w:t xml:space="preserve"> on building Health Risk Assessment and Prevention Readmission projects since 2015</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Provide the consultation services to QFOR on building Adapted Learning and Assessment System between 2014 and 2015</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lastRenderedPageBreak/>
        <w:t>Provide the consultation service to Kemper Preferred to build up their analytical capability by establishing the risk assessment team and pricing team since 2012between 2012 and 2013</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Provide Risk Assessment and Risk Adjustment service to the Actuarial Division at Florida Blue for the health care reform project between 2005 and 2011</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Serve as expert witness for Republic Bank as their predict modeling expert in 2011</w:t>
      </w:r>
    </w:p>
    <w:p w:rsidR="00D548C8" w:rsidRDefault="00D548C8" w:rsidP="00D548C8">
      <w:pPr>
        <w:numPr>
          <w:ilvl w:val="0"/>
          <w:numId w:val="2"/>
        </w:numPr>
        <w:spacing w:after="0" w:line="240" w:lineRule="auto"/>
        <w:jc w:val="both"/>
        <w:rPr>
          <w:rFonts w:ascii="Times New Roman" w:hAnsi="Times New Roman"/>
          <w:spacing w:val="-3"/>
        </w:rPr>
      </w:pPr>
      <w:r>
        <w:rPr>
          <w:rFonts w:ascii="Times New Roman" w:hAnsi="Times New Roman"/>
          <w:spacing w:val="-3"/>
        </w:rPr>
        <w:t xml:space="preserve">Provide Customer Relationship Management Consultation to </w:t>
      </w:r>
      <w:proofErr w:type="spellStart"/>
      <w:r>
        <w:rPr>
          <w:rFonts w:ascii="Times New Roman" w:hAnsi="Times New Roman"/>
          <w:spacing w:val="-3"/>
        </w:rPr>
        <w:t>Everbank</w:t>
      </w:r>
      <w:proofErr w:type="spellEnd"/>
      <w:r>
        <w:rPr>
          <w:rFonts w:ascii="Times New Roman" w:hAnsi="Times New Roman"/>
          <w:spacing w:val="-3"/>
        </w:rPr>
        <w:t xml:space="preserve"> between 2011 and 2013</w:t>
      </w:r>
    </w:p>
    <w:p w:rsidR="00D548C8" w:rsidRDefault="00D548C8" w:rsidP="00D548C8">
      <w:pPr>
        <w:ind w:left="780"/>
        <w:jc w:val="both"/>
        <w:rPr>
          <w:rFonts w:ascii="Times New Roman" w:hAnsi="Times New Roman"/>
          <w:spacing w:val="-3"/>
        </w:rPr>
      </w:pPr>
    </w:p>
    <w:p w:rsidR="00D548C8" w:rsidRDefault="00D548C8" w:rsidP="00D548C8">
      <w:pPr>
        <w:jc w:val="both"/>
        <w:rPr>
          <w:rFonts w:ascii="宋体" w:hAnsi="宋体" w:cs="宋体"/>
          <w:sz w:val="21"/>
          <w:szCs w:val="21"/>
          <w:lang w:eastAsia="zh-CN"/>
        </w:rPr>
      </w:pPr>
      <w:r>
        <w:rPr>
          <w:rFonts w:ascii="Times New Roman" w:hAnsi="Times New Roman"/>
          <w:spacing w:val="-3"/>
        </w:rPr>
        <w:t xml:space="preserve">His clients include Florida Blue, Republic Bank, Sodexo Campus Services, Florida Department of Health, </w:t>
      </w:r>
      <w:proofErr w:type="spellStart"/>
      <w:r>
        <w:rPr>
          <w:rFonts w:ascii="Times New Roman" w:hAnsi="Times New Roman"/>
          <w:spacing w:val="-3"/>
        </w:rPr>
        <w:t>Everbank</w:t>
      </w:r>
      <w:proofErr w:type="spellEnd"/>
      <w:r>
        <w:rPr>
          <w:rFonts w:ascii="Times New Roman" w:hAnsi="Times New Roman"/>
          <w:spacing w:val="-3"/>
        </w:rPr>
        <w:t xml:space="preserve">, QFOR, </w:t>
      </w:r>
      <w:proofErr w:type="spellStart"/>
      <w:r>
        <w:rPr>
          <w:rFonts w:ascii="Times New Roman" w:hAnsi="Times New Roman"/>
          <w:spacing w:val="-3"/>
        </w:rPr>
        <w:t>HealthFirst</w:t>
      </w:r>
      <w:proofErr w:type="spellEnd"/>
      <w:r>
        <w:rPr>
          <w:rFonts w:ascii="Times New Roman" w:hAnsi="Times New Roman"/>
          <w:spacing w:val="-3"/>
        </w:rPr>
        <w:t xml:space="preserve">, </w:t>
      </w:r>
      <w:proofErr w:type="spellStart"/>
      <w:r>
        <w:rPr>
          <w:rFonts w:ascii="Times New Roman" w:hAnsi="Times New Roman"/>
          <w:spacing w:val="-3"/>
        </w:rPr>
        <w:t>Icube</w:t>
      </w:r>
      <w:proofErr w:type="spellEnd"/>
      <w:r>
        <w:rPr>
          <w:rFonts w:ascii="Times New Roman" w:hAnsi="Times New Roman"/>
          <w:spacing w:val="-3"/>
        </w:rPr>
        <w:t>, and University of Central Florida Foundation.</w:t>
      </w:r>
    </w:p>
    <w:p w:rsidR="00D548C8" w:rsidRDefault="00D548C8">
      <w:pPr>
        <w:rPr>
          <w:lang w:eastAsia="zh-CN"/>
        </w:rPr>
      </w:pPr>
    </w:p>
    <w:sectPr w:rsidR="00D548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6C2D1C"/>
    <w:multiLevelType w:val="hybridMultilevel"/>
    <w:tmpl w:val="69D4517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nsid w:val="3A5060C0"/>
    <w:multiLevelType w:val="hybridMultilevel"/>
    <w:tmpl w:val="B1D0277A"/>
    <w:lvl w:ilvl="0" w:tplc="8EDE4238">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8C8"/>
    <w:rsid w:val="00096494"/>
    <w:rsid w:val="004F5E2F"/>
    <w:rsid w:val="00A12C54"/>
    <w:rsid w:val="00AA1A0D"/>
    <w:rsid w:val="00D54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FDBCB-5389-4898-B8D5-820E2C691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8C8"/>
    <w:pPr>
      <w:spacing w:after="160" w:line="256" w:lineRule="auto"/>
    </w:pPr>
    <w:rPr>
      <w:rFonts w:eastAsia="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unhideWhenUsed/>
    <w:rsid w:val="00D548C8"/>
    <w:pPr>
      <w:spacing w:after="0" w:line="240" w:lineRule="auto"/>
      <w:jc w:val="both"/>
    </w:pPr>
    <w:rPr>
      <w:rFonts w:ascii="Times New Roman" w:eastAsia="Times New Roman" w:hAnsi="Times New Roman" w:cs="Times New Roman"/>
      <w:sz w:val="24"/>
      <w:szCs w:val="32"/>
    </w:rPr>
  </w:style>
  <w:style w:type="character" w:customStyle="1" w:styleId="Char">
    <w:name w:val="正文文本 Char"/>
    <w:basedOn w:val="a0"/>
    <w:link w:val="a3"/>
    <w:semiHidden/>
    <w:rsid w:val="00D548C8"/>
    <w:rPr>
      <w:rFonts w:ascii="Times New Roman" w:eastAsia="Times New Roman" w:hAnsi="Times New Roman" w:cs="Times New Roman"/>
      <w:kern w:val="0"/>
      <w:sz w:val="24"/>
      <w:szCs w:val="32"/>
      <w:lang w:eastAsia="en-US"/>
    </w:rPr>
  </w:style>
  <w:style w:type="paragraph" w:styleId="a4">
    <w:name w:val="List Paragraph"/>
    <w:basedOn w:val="a"/>
    <w:uiPriority w:val="34"/>
    <w:qFormat/>
    <w:rsid w:val="00D548C8"/>
    <w:pPr>
      <w:spacing w:after="0" w:line="240" w:lineRule="auto"/>
      <w:ind w:firstLine="420"/>
      <w:jc w:val="both"/>
    </w:pPr>
    <w:rPr>
      <w:rFonts w:ascii="Calibri" w:hAnsi="Calibri" w:cs="宋体"/>
      <w:sz w:val="21"/>
      <w:szCs w:val="21"/>
      <w:lang w:eastAsia="zh-CN"/>
    </w:rPr>
  </w:style>
  <w:style w:type="table" w:styleId="a5">
    <w:name w:val="Table Grid"/>
    <w:basedOn w:val="a1"/>
    <w:uiPriority w:val="59"/>
    <w:rsid w:val="00D548C8"/>
    <w:rPr>
      <w:rFonts w:eastAsiaTheme="minorHAnsi"/>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557379">
      <w:bodyDiv w:val="1"/>
      <w:marLeft w:val="0"/>
      <w:marRight w:val="0"/>
      <w:marTop w:val="0"/>
      <w:marBottom w:val="0"/>
      <w:divBdr>
        <w:top w:val="none" w:sz="0" w:space="0" w:color="auto"/>
        <w:left w:val="none" w:sz="0" w:space="0" w:color="auto"/>
        <w:bottom w:val="none" w:sz="0" w:space="0" w:color="auto"/>
        <w:right w:val="none" w:sz="0" w:space="0" w:color="auto"/>
      </w:divBdr>
    </w:div>
    <w:div w:id="149286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679</Words>
  <Characters>3875</Characters>
  <Application>Microsoft Office Word</Application>
  <DocSecurity>0</DocSecurity>
  <Lines>32</Lines>
  <Paragraphs>9</Paragraphs>
  <ScaleCrop>false</ScaleCrop>
  <Company/>
  <LinksUpToDate>false</LinksUpToDate>
  <CharactersWithSpaces>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任韬</dc:creator>
  <cp:keywords/>
  <dc:description/>
  <cp:lastModifiedBy>任韬</cp:lastModifiedBy>
  <cp:revision>2</cp:revision>
  <dcterms:created xsi:type="dcterms:W3CDTF">2016-04-29T02:57:00Z</dcterms:created>
  <dcterms:modified xsi:type="dcterms:W3CDTF">2016-04-29T05:56:00Z</dcterms:modified>
</cp:coreProperties>
</file>