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9E5" w:rsidRDefault="00A549E5">
      <w:pPr>
        <w:jc w:val="center"/>
        <w:rPr>
          <w:rFonts w:eastAsia="黑体" w:cs="Times New Roman"/>
          <w:sz w:val="30"/>
          <w:szCs w:val="30"/>
        </w:rPr>
      </w:pPr>
      <w:r>
        <w:rPr>
          <w:rFonts w:eastAsia="黑体" w:cs="黑体" w:hint="eastAsia"/>
          <w:sz w:val="30"/>
          <w:szCs w:val="30"/>
        </w:rPr>
        <w:t>《英语口语》（外教）课程中英文简介</w:t>
      </w:r>
    </w:p>
    <w:p w:rsidR="00A549E5" w:rsidRDefault="00A549E5">
      <w:pPr>
        <w:widowControl w:val="0"/>
        <w:spacing w:after="0" w:line="560" w:lineRule="exact"/>
        <w:jc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 xml:space="preserve">Spoken English </w:t>
      </w:r>
    </w:p>
    <w:p w:rsidR="00A549E5" w:rsidRDefault="00A549E5">
      <w:pPr>
        <w:widowControl w:val="0"/>
        <w:spacing w:after="0" w:line="560" w:lineRule="exact"/>
        <w:jc w:val="both"/>
        <w:rPr>
          <w:rFonts w:ascii="仿宋_GB2312" w:eastAsia="仿宋_GB2312" w:hAnsi="宋体" w:cs="Times New Roman"/>
          <w:kern w:val="2"/>
          <w:sz w:val="32"/>
          <w:szCs w:val="32"/>
        </w:rPr>
      </w:pPr>
    </w:p>
    <w:p w:rsidR="00A549E5" w:rsidRDefault="00A549E5">
      <w:pPr>
        <w:widowControl w:val="0"/>
        <w:tabs>
          <w:tab w:val="left" w:pos="4200"/>
        </w:tabs>
        <w:spacing w:after="0" w:line="560" w:lineRule="exact"/>
        <w:jc w:val="both"/>
        <w:rPr>
          <w:rFonts w:ascii="宋体" w:cs="Times New Roman"/>
          <w:kern w:val="2"/>
          <w:sz w:val="21"/>
          <w:szCs w:val="21"/>
        </w:rPr>
      </w:pPr>
      <w:r>
        <w:rPr>
          <w:rFonts w:ascii="黑体" w:eastAsia="黑体" w:hAnsi="黑体" w:cs="黑体" w:hint="eastAsia"/>
          <w:kern w:val="2"/>
          <w:sz w:val="21"/>
          <w:szCs w:val="21"/>
        </w:rPr>
        <w:t>课程代码：</w:t>
      </w:r>
      <w:r w:rsidRPr="003056FC">
        <w:rPr>
          <w:rFonts w:ascii="黑体" w:eastAsia="黑体" w:hAnsi="黑体" w:cs="黑体"/>
          <w:kern w:val="2"/>
          <w:sz w:val="21"/>
          <w:szCs w:val="21"/>
        </w:rPr>
        <w:t>131602B</w:t>
      </w:r>
      <w:r>
        <w:rPr>
          <w:rFonts w:ascii="仿宋_GB2312" w:eastAsia="仿宋_GB2312" w:hAnsi="Times New Roman" w:cs="Times New Roman"/>
          <w:kern w:val="2"/>
          <w:sz w:val="32"/>
          <w:szCs w:val="32"/>
        </w:rPr>
        <w:tab/>
      </w:r>
      <w:r>
        <w:rPr>
          <w:rFonts w:ascii="Times New Roman" w:eastAsia="仿宋_GB2312" w:hAnsi="Times New Roman" w:cs="Times New Roman"/>
          <w:b/>
          <w:bCs/>
          <w:kern w:val="2"/>
          <w:sz w:val="21"/>
          <w:szCs w:val="21"/>
        </w:rPr>
        <w:t>Course Code</w:t>
      </w:r>
      <w:r>
        <w:rPr>
          <w:rFonts w:ascii="Times New Roman" w:eastAsia="仿宋_GB2312" w:hAnsi="Times New Roman" w:cs="仿宋_GB2312" w:hint="eastAsia"/>
          <w:b/>
          <w:bCs/>
          <w:kern w:val="2"/>
          <w:sz w:val="21"/>
          <w:szCs w:val="21"/>
        </w:rPr>
        <w:t>：</w:t>
      </w:r>
      <w:r w:rsidRPr="003056FC">
        <w:rPr>
          <w:rFonts w:ascii="黑体" w:eastAsia="黑体" w:hAnsi="黑体" w:cs="黑体"/>
          <w:kern w:val="2"/>
          <w:sz w:val="21"/>
          <w:szCs w:val="21"/>
        </w:rPr>
        <w:t>131602B</w:t>
      </w:r>
    </w:p>
    <w:p w:rsidR="00A549E5" w:rsidRDefault="00A549E5">
      <w:pPr>
        <w:widowControl w:val="0"/>
        <w:tabs>
          <w:tab w:val="left" w:pos="3795"/>
        </w:tabs>
        <w:spacing w:after="0" w:line="560" w:lineRule="exact"/>
        <w:jc w:val="both"/>
        <w:rPr>
          <w:rFonts w:ascii="Times New Roman" w:eastAsia="仿宋_GB2312" w:hAnsi="Times New Roman" w:cs="Times New Roman"/>
          <w:b/>
          <w:bCs/>
          <w:kern w:val="2"/>
          <w:sz w:val="32"/>
          <w:szCs w:val="32"/>
        </w:rPr>
      </w:pPr>
      <w:r>
        <w:rPr>
          <w:rFonts w:ascii="黑体" w:eastAsia="黑体" w:hAnsi="黑体" w:cs="黑体" w:hint="eastAsia"/>
          <w:kern w:val="2"/>
          <w:sz w:val="21"/>
          <w:szCs w:val="21"/>
        </w:rPr>
        <w:t>课程名称：英语口语</w:t>
      </w:r>
      <w:r>
        <w:rPr>
          <w:rFonts w:ascii="黑体" w:eastAsia="黑体" w:hAnsi="黑体" w:cs="黑体"/>
          <w:kern w:val="2"/>
          <w:sz w:val="21"/>
          <w:szCs w:val="21"/>
        </w:rPr>
        <w:t xml:space="preserve"> </w:t>
      </w:r>
      <w:r>
        <w:rPr>
          <w:rFonts w:ascii="仿宋_GB2312" w:eastAsia="仿宋_GB2312" w:hAnsi="Times New Roman" w:cs="Times New Roman"/>
          <w:kern w:val="2"/>
          <w:sz w:val="32"/>
          <w:szCs w:val="32"/>
        </w:rPr>
        <w:tab/>
      </w:r>
      <w:r>
        <w:rPr>
          <w:rFonts w:ascii="Times New Roman" w:eastAsia="仿宋_GB2312" w:hAnsi="Times New Roman" w:cs="Times New Roman"/>
          <w:b/>
          <w:bCs/>
          <w:kern w:val="2"/>
          <w:sz w:val="21"/>
          <w:szCs w:val="21"/>
        </w:rPr>
        <w:t>Course Name</w:t>
      </w:r>
      <w:r>
        <w:rPr>
          <w:rFonts w:ascii="Times New Roman" w:eastAsia="仿宋_GB2312" w:hAnsi="Times New Roman" w:cs="仿宋_GB2312" w:hint="eastAsia"/>
          <w:b/>
          <w:bCs/>
          <w:kern w:val="2"/>
          <w:sz w:val="21"/>
          <w:szCs w:val="21"/>
        </w:rPr>
        <w:t>：</w:t>
      </w:r>
      <w:r>
        <w:rPr>
          <w:rFonts w:ascii="Times New Roman" w:eastAsia="仿宋_GB2312" w:hAnsi="Times New Roman" w:cs="Times New Roman"/>
          <w:b/>
          <w:bCs/>
          <w:kern w:val="2"/>
          <w:sz w:val="21"/>
          <w:szCs w:val="21"/>
        </w:rPr>
        <w:t xml:space="preserve">Spoken English </w:t>
      </w:r>
    </w:p>
    <w:p w:rsidR="00A549E5" w:rsidRDefault="00A549E5">
      <w:pPr>
        <w:widowControl w:val="0"/>
        <w:tabs>
          <w:tab w:val="left" w:pos="4111"/>
        </w:tabs>
        <w:spacing w:after="0" w:line="560" w:lineRule="exact"/>
        <w:jc w:val="both"/>
        <w:rPr>
          <w:rFonts w:ascii="仿宋_GB2312" w:eastAsia="仿宋_GB2312" w:hAnsi="Times New Roman" w:cs="Times New Roman"/>
          <w:kern w:val="2"/>
          <w:sz w:val="32"/>
          <w:szCs w:val="32"/>
        </w:rPr>
      </w:pPr>
      <w:r>
        <w:rPr>
          <w:rFonts w:ascii="黑体" w:eastAsia="黑体" w:hAnsi="黑体" w:cs="黑体" w:hint="eastAsia"/>
          <w:kern w:val="2"/>
          <w:sz w:val="21"/>
          <w:szCs w:val="21"/>
        </w:rPr>
        <w:t>学时：</w:t>
      </w:r>
      <w:r>
        <w:rPr>
          <w:rFonts w:ascii="黑体" w:eastAsia="黑体" w:hAnsi="黑体" w:cs="黑体"/>
          <w:kern w:val="2"/>
          <w:sz w:val="21"/>
          <w:szCs w:val="21"/>
        </w:rPr>
        <w:t>32</w:t>
      </w:r>
      <w:r>
        <w:rPr>
          <w:rFonts w:ascii="仿宋_GB2312" w:eastAsia="仿宋_GB2312" w:hAnsi="Times New Roman" w:cs="Times New Roman"/>
          <w:kern w:val="2"/>
          <w:sz w:val="32"/>
          <w:szCs w:val="32"/>
        </w:rPr>
        <w:tab/>
      </w:r>
      <w:r>
        <w:rPr>
          <w:rFonts w:ascii="Times New Roman" w:eastAsia="仿宋_GB2312" w:hAnsi="Times New Roman" w:cs="Times New Roman"/>
          <w:b/>
          <w:bCs/>
          <w:kern w:val="2"/>
          <w:sz w:val="21"/>
          <w:szCs w:val="21"/>
        </w:rPr>
        <w:t>Periods</w:t>
      </w:r>
      <w:r>
        <w:rPr>
          <w:rFonts w:ascii="Times New Roman" w:eastAsia="仿宋_GB2312" w:hAnsi="Times New Roman" w:cs="仿宋_GB2312" w:hint="eastAsia"/>
          <w:b/>
          <w:bCs/>
          <w:kern w:val="2"/>
          <w:sz w:val="21"/>
          <w:szCs w:val="21"/>
        </w:rPr>
        <w:t>：</w:t>
      </w:r>
      <w:r>
        <w:rPr>
          <w:rFonts w:ascii="Times New Roman" w:eastAsia="仿宋_GB2312" w:hAnsi="Times New Roman" w:cs="Times New Roman"/>
          <w:b/>
          <w:bCs/>
          <w:kern w:val="2"/>
          <w:sz w:val="21"/>
          <w:szCs w:val="21"/>
        </w:rPr>
        <w:t>32</w:t>
      </w:r>
    </w:p>
    <w:p w:rsidR="00A549E5" w:rsidRDefault="00A549E5">
      <w:pPr>
        <w:widowControl w:val="0"/>
        <w:tabs>
          <w:tab w:val="left" w:pos="4111"/>
        </w:tabs>
        <w:spacing w:after="0" w:line="560" w:lineRule="exact"/>
        <w:jc w:val="both"/>
        <w:rPr>
          <w:rFonts w:ascii="仿宋_GB2312" w:eastAsia="仿宋_GB2312" w:hAnsi="Times New Roman" w:cs="Times New Roman"/>
          <w:kern w:val="2"/>
          <w:sz w:val="32"/>
          <w:szCs w:val="32"/>
        </w:rPr>
      </w:pPr>
      <w:r>
        <w:rPr>
          <w:rFonts w:ascii="黑体" w:eastAsia="黑体" w:hAnsi="黑体" w:cs="黑体" w:hint="eastAsia"/>
          <w:kern w:val="2"/>
          <w:sz w:val="21"/>
          <w:szCs w:val="21"/>
        </w:rPr>
        <w:t>学分：</w:t>
      </w:r>
      <w:r>
        <w:rPr>
          <w:rFonts w:ascii="黑体" w:eastAsia="黑体" w:hAnsi="黑体" w:cs="黑体"/>
          <w:kern w:val="2"/>
          <w:sz w:val="21"/>
          <w:szCs w:val="21"/>
        </w:rPr>
        <w:t>2</w:t>
      </w:r>
      <w:r>
        <w:rPr>
          <w:rFonts w:ascii="仿宋_GB2312" w:eastAsia="仿宋_GB2312" w:hAnsi="Times New Roman" w:cs="Times New Roman"/>
          <w:kern w:val="2"/>
          <w:sz w:val="32"/>
          <w:szCs w:val="32"/>
        </w:rPr>
        <w:tab/>
      </w:r>
      <w:r>
        <w:rPr>
          <w:rFonts w:ascii="Times New Roman" w:eastAsia="仿宋_GB2312" w:hAnsi="Times New Roman" w:cs="Times New Roman"/>
          <w:b/>
          <w:bCs/>
          <w:kern w:val="2"/>
          <w:sz w:val="21"/>
          <w:szCs w:val="21"/>
        </w:rPr>
        <w:t>Credits</w:t>
      </w:r>
      <w:r>
        <w:rPr>
          <w:rFonts w:ascii="Times New Roman" w:eastAsia="仿宋_GB2312" w:hAnsi="Times New Roman" w:cs="仿宋_GB2312" w:hint="eastAsia"/>
          <w:b/>
          <w:bCs/>
          <w:kern w:val="2"/>
          <w:sz w:val="21"/>
          <w:szCs w:val="21"/>
        </w:rPr>
        <w:t>：</w:t>
      </w:r>
      <w:r>
        <w:rPr>
          <w:rFonts w:ascii="Times New Roman" w:eastAsia="仿宋_GB2312" w:hAnsi="Times New Roman" w:cs="Times New Roman"/>
          <w:b/>
          <w:bCs/>
          <w:kern w:val="2"/>
          <w:sz w:val="21"/>
          <w:szCs w:val="21"/>
        </w:rPr>
        <w:t>2</w:t>
      </w:r>
    </w:p>
    <w:p w:rsidR="00A549E5" w:rsidRDefault="00A549E5">
      <w:pPr>
        <w:widowControl w:val="0"/>
        <w:tabs>
          <w:tab w:val="left" w:pos="4111"/>
        </w:tabs>
        <w:spacing w:after="0" w:line="560" w:lineRule="exact"/>
        <w:jc w:val="both"/>
        <w:rPr>
          <w:rFonts w:ascii="黑体" w:eastAsia="黑体" w:hAnsi="黑体" w:cs="Times New Roman"/>
          <w:kern w:val="2"/>
          <w:sz w:val="21"/>
          <w:szCs w:val="21"/>
        </w:rPr>
      </w:pPr>
      <w:r>
        <w:rPr>
          <w:rFonts w:ascii="黑体" w:eastAsia="黑体" w:hAnsi="黑体" w:cs="黑体" w:hint="eastAsia"/>
          <w:kern w:val="2"/>
          <w:sz w:val="21"/>
          <w:szCs w:val="21"/>
        </w:rPr>
        <w:t>考核方式：闭卷</w:t>
      </w:r>
      <w:r>
        <w:rPr>
          <w:rFonts w:ascii="黑体" w:eastAsia="黑体" w:hAnsi="黑体" w:cs="Times New Roman"/>
          <w:kern w:val="2"/>
          <w:sz w:val="21"/>
          <w:szCs w:val="21"/>
        </w:rPr>
        <w:tab/>
      </w:r>
      <w:r>
        <w:rPr>
          <w:rFonts w:ascii="Times New Roman" w:eastAsia="仿宋_GB2312" w:hAnsi="Times New Roman" w:cs="Times New Roman"/>
          <w:b/>
          <w:bCs/>
          <w:kern w:val="2"/>
          <w:sz w:val="21"/>
          <w:szCs w:val="21"/>
        </w:rPr>
        <w:t>Assessment</w:t>
      </w:r>
      <w:r>
        <w:rPr>
          <w:rFonts w:ascii="Times New Roman" w:eastAsia="仿宋_GB2312" w:hAnsi="Times New Roman" w:cs="仿宋_GB2312" w:hint="eastAsia"/>
          <w:b/>
          <w:bCs/>
          <w:kern w:val="2"/>
          <w:sz w:val="21"/>
          <w:szCs w:val="21"/>
        </w:rPr>
        <w:t>：</w:t>
      </w:r>
    </w:p>
    <w:p w:rsidR="00A549E5" w:rsidRDefault="00A549E5">
      <w:pPr>
        <w:spacing w:after="0" w:line="560" w:lineRule="exact"/>
        <w:rPr>
          <w:rFonts w:ascii="仿宋_GB2312" w:eastAsia="仿宋_GB2312" w:hAnsi="Times New Roman" w:cs="Times New Roman"/>
          <w:sz w:val="32"/>
          <w:szCs w:val="32"/>
        </w:rPr>
      </w:pPr>
    </w:p>
    <w:p w:rsidR="00A549E5" w:rsidRDefault="00A549E5" w:rsidP="000A774F">
      <w:pPr>
        <w:spacing w:after="0" w:line="560" w:lineRule="exact"/>
        <w:ind w:firstLineChars="200" w:firstLine="31680"/>
        <w:rPr>
          <w:rFonts w:ascii="宋体" w:cs="Times New Roman"/>
          <w:sz w:val="21"/>
          <w:szCs w:val="21"/>
        </w:rPr>
      </w:pPr>
      <w:r>
        <w:rPr>
          <w:rFonts w:ascii="宋体" w:hAnsi="宋体" w:cs="宋体" w:hint="eastAsia"/>
          <w:sz w:val="21"/>
          <w:szCs w:val="21"/>
        </w:rPr>
        <w:t>《英语口语</w:t>
      </w:r>
      <w:bookmarkStart w:id="0" w:name="_GoBack"/>
      <w:bookmarkEnd w:id="0"/>
      <w:r>
        <w:rPr>
          <w:rFonts w:ascii="宋体" w:hAnsi="宋体" w:cs="宋体" w:hint="eastAsia"/>
          <w:sz w:val="21"/>
          <w:szCs w:val="21"/>
        </w:rPr>
        <w:t>》</w:t>
      </w:r>
      <w:r>
        <w:rPr>
          <w:rFonts w:ascii="宋体" w:hAnsi="宋体" w:cs="宋体"/>
          <w:sz w:val="21"/>
          <w:szCs w:val="21"/>
        </w:rPr>
        <w:t>(</w:t>
      </w:r>
      <w:r>
        <w:rPr>
          <w:rFonts w:ascii="宋体" w:hAnsi="宋体" w:cs="宋体" w:hint="eastAsia"/>
          <w:sz w:val="21"/>
          <w:szCs w:val="21"/>
        </w:rPr>
        <w:t>外教</w:t>
      </w:r>
      <w:r>
        <w:rPr>
          <w:rFonts w:ascii="宋体" w:hAnsi="宋体" w:cs="宋体"/>
          <w:sz w:val="21"/>
          <w:szCs w:val="21"/>
        </w:rPr>
        <w:t>)</w:t>
      </w:r>
      <w:r>
        <w:rPr>
          <w:rFonts w:ascii="宋体" w:hAnsi="宋体" w:cs="宋体" w:hint="eastAsia"/>
          <w:sz w:val="21"/>
          <w:szCs w:val="21"/>
        </w:rPr>
        <w:t>是为财经类院校金融专业的本科生开设的一门课程。通过本门课程的教学，使学生进一步掌握跨文化交际的基本知识和规则；了解跨文化交际中的理论依据、文化意识、文化冲突以及解决的策略；探索中西文化交际过程中的先决条件、内在需求。教学过程中，让学生接触</w:t>
      </w:r>
      <w:r>
        <w:rPr>
          <w:rFonts w:ascii="宋体" w:hAnsi="宋体" w:cs="宋体"/>
          <w:sz w:val="21"/>
          <w:szCs w:val="21"/>
        </w:rPr>
        <w:t>Culture, Communication &amp; Intercultural Communication</w:t>
      </w:r>
      <w:r>
        <w:rPr>
          <w:rFonts w:ascii="宋体" w:hAnsi="宋体" w:cs="宋体" w:hint="eastAsia"/>
          <w:sz w:val="21"/>
          <w:szCs w:val="21"/>
        </w:rPr>
        <w:t>、</w:t>
      </w:r>
      <w:r>
        <w:rPr>
          <w:rFonts w:ascii="宋体" w:hAnsi="宋体" w:cs="宋体"/>
          <w:sz w:val="21"/>
          <w:szCs w:val="21"/>
        </w:rPr>
        <w:t>Verbal Communication</w:t>
      </w:r>
      <w:r>
        <w:rPr>
          <w:rFonts w:ascii="宋体" w:hAnsi="宋体" w:cs="宋体" w:hint="eastAsia"/>
          <w:sz w:val="21"/>
          <w:szCs w:val="21"/>
        </w:rPr>
        <w:t>、</w:t>
      </w:r>
      <w:r>
        <w:rPr>
          <w:rFonts w:ascii="宋体" w:hAnsi="宋体" w:cs="宋体"/>
          <w:sz w:val="21"/>
          <w:szCs w:val="21"/>
        </w:rPr>
        <w:t>Nonverbal Communication</w:t>
      </w:r>
      <w:r>
        <w:rPr>
          <w:rFonts w:ascii="宋体" w:hAnsi="宋体" w:cs="宋体" w:hint="eastAsia"/>
          <w:sz w:val="21"/>
          <w:szCs w:val="21"/>
        </w:rPr>
        <w:t>、</w:t>
      </w:r>
      <w:r>
        <w:rPr>
          <w:rFonts w:ascii="宋体" w:hAnsi="宋体" w:cs="宋体"/>
          <w:sz w:val="21"/>
          <w:szCs w:val="21"/>
        </w:rPr>
        <w:t>Cultural Values</w:t>
      </w:r>
      <w:r>
        <w:rPr>
          <w:rFonts w:ascii="宋体" w:hAnsi="宋体" w:cs="宋体" w:hint="eastAsia"/>
          <w:sz w:val="21"/>
          <w:szCs w:val="21"/>
        </w:rPr>
        <w:t>、</w:t>
      </w:r>
      <w:r>
        <w:rPr>
          <w:rFonts w:ascii="宋体" w:hAnsi="宋体" w:cs="宋体"/>
          <w:sz w:val="21"/>
          <w:szCs w:val="21"/>
        </w:rPr>
        <w:t>Cultural Shock in Intercultural Communication</w:t>
      </w:r>
      <w:r>
        <w:rPr>
          <w:rFonts w:ascii="宋体" w:hAnsi="宋体" w:cs="宋体" w:hint="eastAsia"/>
          <w:sz w:val="21"/>
          <w:szCs w:val="21"/>
        </w:rPr>
        <w:t>、</w:t>
      </w:r>
      <w:r>
        <w:rPr>
          <w:rFonts w:ascii="宋体" w:hAnsi="宋体" w:cs="宋体"/>
          <w:sz w:val="21"/>
          <w:szCs w:val="21"/>
        </w:rPr>
        <w:t>Business Etiquette &amp; Social Customs</w:t>
      </w:r>
      <w:r>
        <w:rPr>
          <w:rFonts w:ascii="宋体" w:hAnsi="宋体" w:cs="宋体" w:hint="eastAsia"/>
          <w:sz w:val="21"/>
          <w:szCs w:val="21"/>
        </w:rPr>
        <w:t>、</w:t>
      </w:r>
      <w:r>
        <w:rPr>
          <w:rFonts w:ascii="宋体" w:hAnsi="宋体" w:cs="宋体"/>
          <w:sz w:val="21"/>
          <w:szCs w:val="21"/>
        </w:rPr>
        <w:t>Intercultural Business Negotiation</w:t>
      </w:r>
      <w:r>
        <w:rPr>
          <w:rFonts w:ascii="宋体" w:hAnsi="宋体" w:cs="宋体" w:hint="eastAsia"/>
          <w:sz w:val="21"/>
          <w:szCs w:val="21"/>
        </w:rPr>
        <w:t>、</w:t>
      </w:r>
      <w:r>
        <w:rPr>
          <w:rFonts w:ascii="宋体" w:hAnsi="宋体" w:cs="宋体"/>
          <w:sz w:val="21"/>
          <w:szCs w:val="21"/>
        </w:rPr>
        <w:t>Intercultural Market Communication</w:t>
      </w:r>
      <w:r>
        <w:rPr>
          <w:rFonts w:ascii="宋体" w:hAnsi="宋体" w:cs="宋体" w:hint="eastAsia"/>
          <w:sz w:val="21"/>
          <w:szCs w:val="21"/>
        </w:rPr>
        <w:t>等方面知识和内容，为学生在国际商务环境中进行跨文化交际实践奠定基础。</w:t>
      </w:r>
    </w:p>
    <w:p w:rsidR="00A549E5" w:rsidRDefault="00A549E5" w:rsidP="000A774F">
      <w:pPr>
        <w:spacing w:after="0" w:line="560" w:lineRule="exact"/>
        <w:ind w:firstLineChars="200" w:firstLine="31680"/>
        <w:rPr>
          <w:rFonts w:ascii="宋体" w:cs="Times New Roman"/>
          <w:sz w:val="21"/>
          <w:szCs w:val="21"/>
        </w:rPr>
      </w:pPr>
      <w:r>
        <w:rPr>
          <w:rFonts w:ascii="宋体" w:hAnsi="宋体" w:cs="宋体" w:hint="eastAsia"/>
          <w:sz w:val="21"/>
          <w:szCs w:val="21"/>
        </w:rPr>
        <w:t>作为一门专业必修的通识性课程，本课程阐述了跨文化交际的基本知识、理念和方式方法，有助于学习者在进入社会之后能够更好、更快地融入工作环境。</w:t>
      </w:r>
    </w:p>
    <w:p w:rsidR="00A549E5" w:rsidRPr="0072252E" w:rsidRDefault="00A549E5" w:rsidP="0072252E">
      <w:pPr>
        <w:spacing w:after="0" w:line="560" w:lineRule="exact"/>
        <w:ind w:firstLineChars="200" w:firstLine="31680"/>
        <w:jc w:val="both"/>
        <w:rPr>
          <w:rFonts w:ascii="Times New Roman" w:eastAsia="仿宋_GB2312" w:hAnsi="Times New Roman" w:cs="Times New Roman"/>
          <w:kern w:val="2"/>
          <w:sz w:val="20"/>
          <w:szCs w:val="20"/>
        </w:rPr>
      </w:pPr>
      <w:r>
        <w:rPr>
          <w:rFonts w:ascii="Times New Roman" w:eastAsia="仿宋_GB2312" w:hAnsi="Times New Roman" w:cs="Times New Roman"/>
          <w:kern w:val="2"/>
          <w:sz w:val="20"/>
          <w:szCs w:val="20"/>
        </w:rPr>
        <w:t>Spoken</w:t>
      </w:r>
      <w:r w:rsidRPr="0072252E">
        <w:rPr>
          <w:rFonts w:ascii="Times New Roman" w:eastAsia="仿宋_GB2312" w:hAnsi="Times New Roman" w:cs="Times New Roman"/>
          <w:kern w:val="2"/>
          <w:sz w:val="20"/>
          <w:szCs w:val="20"/>
        </w:rPr>
        <w:t xml:space="preserve"> English is a course for undergraduates of financial institutions, especially English majors in those universities. Through the teaching of this course, the students can further master the basic knowledge and rules of intercultural communication, understand the theoretical basis, cultural consciousness, cultural conflict, solve strategies in cross-cultural communication, explore the prerequisites and internal needs of Chinese and western cultural communication. In the process of teaching, the students can know about the knowledge of Culture, Communication &amp; Intercultural Communication</w:t>
      </w:r>
      <w:r w:rsidRPr="0072252E">
        <w:rPr>
          <w:rFonts w:ascii="Times New Roman" w:eastAsia="仿宋_GB2312" w:hAnsi="Times New Roman" w:cs="仿宋_GB2312" w:hint="eastAsia"/>
          <w:kern w:val="2"/>
          <w:sz w:val="20"/>
          <w:szCs w:val="20"/>
        </w:rPr>
        <w:t>、</w:t>
      </w:r>
      <w:r w:rsidRPr="0072252E">
        <w:rPr>
          <w:rFonts w:ascii="Times New Roman" w:eastAsia="仿宋_GB2312" w:hAnsi="Times New Roman" w:cs="Times New Roman"/>
          <w:kern w:val="2"/>
          <w:sz w:val="20"/>
          <w:szCs w:val="20"/>
        </w:rPr>
        <w:t>Verbal Communication</w:t>
      </w:r>
      <w:r w:rsidRPr="0072252E">
        <w:rPr>
          <w:rFonts w:ascii="Times New Roman" w:eastAsia="仿宋_GB2312" w:hAnsi="Times New Roman" w:cs="仿宋_GB2312" w:hint="eastAsia"/>
          <w:kern w:val="2"/>
          <w:sz w:val="20"/>
          <w:szCs w:val="20"/>
        </w:rPr>
        <w:t>、</w:t>
      </w:r>
      <w:r w:rsidRPr="0072252E">
        <w:rPr>
          <w:rFonts w:ascii="Times New Roman" w:eastAsia="仿宋_GB2312" w:hAnsi="Times New Roman" w:cs="Times New Roman"/>
          <w:kern w:val="2"/>
          <w:sz w:val="20"/>
          <w:szCs w:val="20"/>
        </w:rPr>
        <w:t>Nonverbal Communication</w:t>
      </w:r>
      <w:r w:rsidRPr="0072252E">
        <w:rPr>
          <w:rFonts w:ascii="Times New Roman" w:eastAsia="仿宋_GB2312" w:hAnsi="Times New Roman" w:cs="仿宋_GB2312" w:hint="eastAsia"/>
          <w:kern w:val="2"/>
          <w:sz w:val="20"/>
          <w:szCs w:val="20"/>
        </w:rPr>
        <w:t>、</w:t>
      </w:r>
      <w:r w:rsidRPr="0072252E">
        <w:rPr>
          <w:rFonts w:ascii="Times New Roman" w:eastAsia="仿宋_GB2312" w:hAnsi="Times New Roman" w:cs="Times New Roman"/>
          <w:kern w:val="2"/>
          <w:sz w:val="20"/>
          <w:szCs w:val="20"/>
        </w:rPr>
        <w:t>Cultural Values</w:t>
      </w:r>
      <w:r w:rsidRPr="0072252E">
        <w:rPr>
          <w:rFonts w:ascii="Times New Roman" w:eastAsia="仿宋_GB2312" w:hAnsi="Times New Roman" w:cs="仿宋_GB2312" w:hint="eastAsia"/>
          <w:kern w:val="2"/>
          <w:sz w:val="20"/>
          <w:szCs w:val="20"/>
        </w:rPr>
        <w:t>、</w:t>
      </w:r>
      <w:r w:rsidRPr="0072252E">
        <w:rPr>
          <w:rFonts w:ascii="Times New Roman" w:eastAsia="仿宋_GB2312" w:hAnsi="Times New Roman" w:cs="Times New Roman"/>
          <w:kern w:val="2"/>
          <w:sz w:val="20"/>
          <w:szCs w:val="20"/>
        </w:rPr>
        <w:t>Cultural Shock in Intercultural Communication</w:t>
      </w:r>
      <w:r w:rsidRPr="0072252E">
        <w:rPr>
          <w:rFonts w:ascii="Times New Roman" w:eastAsia="仿宋_GB2312" w:hAnsi="Times New Roman" w:cs="仿宋_GB2312" w:hint="eastAsia"/>
          <w:kern w:val="2"/>
          <w:sz w:val="20"/>
          <w:szCs w:val="20"/>
        </w:rPr>
        <w:t>、</w:t>
      </w:r>
      <w:r w:rsidRPr="0072252E">
        <w:rPr>
          <w:rFonts w:ascii="Times New Roman" w:eastAsia="仿宋_GB2312" w:hAnsi="Times New Roman" w:cs="Times New Roman"/>
          <w:kern w:val="2"/>
          <w:sz w:val="20"/>
          <w:szCs w:val="20"/>
        </w:rPr>
        <w:t>Business Etiquette &amp; Social Customs</w:t>
      </w:r>
      <w:r w:rsidRPr="0072252E">
        <w:rPr>
          <w:rFonts w:ascii="Times New Roman" w:eastAsia="仿宋_GB2312" w:hAnsi="Times New Roman" w:cs="仿宋_GB2312" w:hint="eastAsia"/>
          <w:kern w:val="2"/>
          <w:sz w:val="20"/>
          <w:szCs w:val="20"/>
        </w:rPr>
        <w:t>、</w:t>
      </w:r>
      <w:r w:rsidRPr="0072252E">
        <w:rPr>
          <w:rFonts w:ascii="Times New Roman" w:eastAsia="仿宋_GB2312" w:hAnsi="Times New Roman" w:cs="Times New Roman"/>
          <w:kern w:val="2"/>
          <w:sz w:val="20"/>
          <w:szCs w:val="20"/>
        </w:rPr>
        <w:t>Intercultural Business Negotiation</w:t>
      </w:r>
      <w:r w:rsidRPr="0072252E">
        <w:rPr>
          <w:rFonts w:ascii="Times New Roman" w:eastAsia="仿宋_GB2312" w:hAnsi="Times New Roman" w:cs="仿宋_GB2312" w:hint="eastAsia"/>
          <w:kern w:val="2"/>
          <w:sz w:val="20"/>
          <w:szCs w:val="20"/>
        </w:rPr>
        <w:t>、</w:t>
      </w:r>
      <w:r w:rsidRPr="0072252E">
        <w:rPr>
          <w:rFonts w:ascii="Times New Roman" w:eastAsia="仿宋_GB2312" w:hAnsi="Times New Roman" w:cs="Times New Roman"/>
          <w:kern w:val="2"/>
          <w:sz w:val="20"/>
          <w:szCs w:val="20"/>
        </w:rPr>
        <w:t xml:space="preserve">Intercultural Market Communication, making a solid foundation for the future intercultural communication. </w:t>
      </w:r>
    </w:p>
    <w:p w:rsidR="00A549E5" w:rsidRPr="0072252E" w:rsidRDefault="00A549E5" w:rsidP="000A774F">
      <w:pPr>
        <w:spacing w:after="0" w:line="560" w:lineRule="exact"/>
        <w:ind w:firstLineChars="200" w:firstLine="31680"/>
        <w:jc w:val="both"/>
        <w:rPr>
          <w:rFonts w:ascii="Times New Roman" w:eastAsia="仿宋_GB2312" w:hAnsi="Times New Roman" w:cs="Times New Roman"/>
          <w:kern w:val="2"/>
          <w:sz w:val="21"/>
          <w:szCs w:val="21"/>
        </w:rPr>
      </w:pPr>
      <w:r w:rsidRPr="0072252E">
        <w:rPr>
          <w:rFonts w:ascii="Times New Roman" w:eastAsia="仿宋_GB2312" w:hAnsi="Times New Roman" w:cs="Times New Roman"/>
          <w:kern w:val="2"/>
          <w:sz w:val="21"/>
          <w:szCs w:val="21"/>
        </w:rPr>
        <w:t>As a professional compulsory course, it explains the basics of intercultural communication knowledge, ideas and methods, which will help learners deal with some problems better and adapt to the work environment after entering the society.</w:t>
      </w:r>
    </w:p>
    <w:p w:rsidR="00A549E5" w:rsidRPr="0072252E" w:rsidRDefault="00A549E5" w:rsidP="000A774F">
      <w:pPr>
        <w:widowControl w:val="0"/>
        <w:spacing w:after="0" w:line="560" w:lineRule="exact"/>
        <w:ind w:firstLineChars="250" w:firstLine="31680"/>
        <w:jc w:val="both"/>
        <w:rPr>
          <w:rFonts w:ascii="仿宋_GB2312" w:eastAsia="仿宋_GB2312" w:hAnsi="Times New Roman" w:cs="Times New Roman"/>
          <w:kern w:val="2"/>
          <w:sz w:val="32"/>
          <w:szCs w:val="32"/>
        </w:rPr>
      </w:pPr>
    </w:p>
    <w:p w:rsidR="00A549E5" w:rsidRPr="0072252E" w:rsidRDefault="00A549E5">
      <w:pPr>
        <w:rPr>
          <w:rFonts w:cs="Times New Roman"/>
        </w:rPr>
      </w:pPr>
    </w:p>
    <w:sectPr w:rsidR="00A549E5" w:rsidRPr="0072252E" w:rsidSect="009E3DED">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um"/>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27B90"/>
    <w:rsid w:val="000A774F"/>
    <w:rsid w:val="00175DAC"/>
    <w:rsid w:val="002B44CD"/>
    <w:rsid w:val="003056FC"/>
    <w:rsid w:val="00376383"/>
    <w:rsid w:val="006A123F"/>
    <w:rsid w:val="0072252E"/>
    <w:rsid w:val="008567DF"/>
    <w:rsid w:val="00950952"/>
    <w:rsid w:val="009B6964"/>
    <w:rsid w:val="009D738F"/>
    <w:rsid w:val="009E3DED"/>
    <w:rsid w:val="00A549E5"/>
    <w:rsid w:val="00B36E27"/>
    <w:rsid w:val="00F27B90"/>
    <w:rsid w:val="167960E8"/>
    <w:rsid w:val="608D60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DED"/>
    <w:pPr>
      <w:spacing w:after="200" w:line="276" w:lineRule="auto"/>
    </w:pPr>
    <w:rPr>
      <w:rFonts w:ascii="Calibri" w:hAnsi="Calibri" w:cs="Calibri"/>
      <w:kern w:val="0"/>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E3DED"/>
    <w:pPr>
      <w:widowControl w:val="0"/>
      <w:tabs>
        <w:tab w:val="center" w:pos="4153"/>
        <w:tab w:val="right" w:pos="8306"/>
      </w:tabs>
      <w:snapToGrid w:val="0"/>
      <w:spacing w:after="0" w:line="240" w:lineRule="auto"/>
    </w:pPr>
    <w:rPr>
      <w:kern w:val="2"/>
      <w:sz w:val="18"/>
      <w:szCs w:val="18"/>
    </w:rPr>
  </w:style>
  <w:style w:type="character" w:customStyle="1" w:styleId="FooterChar">
    <w:name w:val="Footer Char"/>
    <w:basedOn w:val="DefaultParagraphFont"/>
    <w:link w:val="Footer"/>
    <w:uiPriority w:val="99"/>
    <w:semiHidden/>
    <w:locked/>
    <w:rsid w:val="009E3DED"/>
    <w:rPr>
      <w:sz w:val="18"/>
      <w:szCs w:val="18"/>
    </w:rPr>
  </w:style>
  <w:style w:type="paragraph" w:styleId="Header">
    <w:name w:val="header"/>
    <w:basedOn w:val="Normal"/>
    <w:link w:val="HeaderChar"/>
    <w:uiPriority w:val="99"/>
    <w:rsid w:val="009E3DED"/>
    <w:pPr>
      <w:widowControl w:val="0"/>
      <w:pBdr>
        <w:bottom w:val="single" w:sz="6" w:space="1" w:color="auto"/>
      </w:pBdr>
      <w:tabs>
        <w:tab w:val="center" w:pos="4153"/>
        <w:tab w:val="right" w:pos="8306"/>
      </w:tabs>
      <w:snapToGrid w:val="0"/>
      <w:spacing w:after="0" w:line="240" w:lineRule="auto"/>
      <w:jc w:val="center"/>
    </w:pPr>
    <w:rPr>
      <w:kern w:val="2"/>
      <w:sz w:val="18"/>
      <w:szCs w:val="18"/>
    </w:rPr>
  </w:style>
  <w:style w:type="character" w:customStyle="1" w:styleId="HeaderChar">
    <w:name w:val="Header Char"/>
    <w:basedOn w:val="DefaultParagraphFont"/>
    <w:link w:val="Header"/>
    <w:uiPriority w:val="99"/>
    <w:semiHidden/>
    <w:locked/>
    <w:rsid w:val="009E3DE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2</Pages>
  <Words>265</Words>
  <Characters>1517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《高级英语口语》课程中英文简介</dc:title>
  <dc:subject/>
  <dc:creator>DELL</dc:creator>
  <cp:keywords/>
  <dc:description/>
  <cp:lastModifiedBy>admin</cp:lastModifiedBy>
  <cp:revision>8</cp:revision>
  <dcterms:created xsi:type="dcterms:W3CDTF">2017-09-06T05:10:00Z</dcterms:created>
  <dcterms:modified xsi:type="dcterms:W3CDTF">2018-11-25T14:50:00Z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2052-9.1.0.5184</vt:lpwstr>
  </property>
</Properties>
</file>