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52504" w14:textId="77777777" w:rsidR="00272FAD" w:rsidRPr="00DA38E5" w:rsidRDefault="00272FAD" w:rsidP="00272FAD">
      <w:pPr>
        <w:spacing w:line="560" w:lineRule="exact"/>
        <w:jc w:val="center"/>
        <w:rPr>
          <w:rFonts w:ascii="Times New Roman" w:eastAsia="仿宋_GB2312" w:hAnsi="Times New Roman"/>
          <w:sz w:val="32"/>
          <w:szCs w:val="32"/>
        </w:rPr>
      </w:pPr>
      <w:r w:rsidRPr="00DA38E5">
        <w:rPr>
          <w:rFonts w:ascii="Times New Roman" w:eastAsia="黑体" w:hAnsi="Times New Roman"/>
          <w:kern w:val="0"/>
          <w:sz w:val="30"/>
          <w:szCs w:val="30"/>
        </w:rPr>
        <w:t>《</w:t>
      </w:r>
      <w:r w:rsidR="00363E67">
        <w:rPr>
          <w:rFonts w:ascii="Times New Roman" w:eastAsia="黑体" w:hAnsi="Times New Roman" w:hint="eastAsia"/>
          <w:kern w:val="0"/>
          <w:sz w:val="30"/>
          <w:szCs w:val="30"/>
        </w:rPr>
        <w:t>城市与房地产经济学</w:t>
      </w:r>
      <w:r w:rsidR="00E05536">
        <w:rPr>
          <w:rFonts w:ascii="Times New Roman" w:eastAsia="黑体" w:hAnsi="Times New Roman" w:hint="eastAsia"/>
          <w:kern w:val="0"/>
          <w:sz w:val="30"/>
          <w:szCs w:val="30"/>
        </w:rPr>
        <w:t>(</w:t>
      </w:r>
      <w:r w:rsidR="00E05536">
        <w:rPr>
          <w:rFonts w:ascii="Times New Roman" w:eastAsia="黑体" w:hAnsi="Times New Roman" w:hint="eastAsia"/>
          <w:kern w:val="0"/>
          <w:sz w:val="30"/>
          <w:szCs w:val="30"/>
        </w:rPr>
        <w:t>英语</w:t>
      </w:r>
      <w:r w:rsidR="00E05536">
        <w:rPr>
          <w:rFonts w:ascii="Times New Roman" w:eastAsia="黑体" w:hAnsi="Times New Roman" w:hint="eastAsia"/>
          <w:kern w:val="0"/>
          <w:sz w:val="30"/>
          <w:szCs w:val="30"/>
        </w:rPr>
        <w:t>)</w:t>
      </w:r>
      <w:r w:rsidR="00A03FE0">
        <w:rPr>
          <w:rFonts w:ascii="Times New Roman" w:eastAsia="黑体" w:hAnsi="Times New Roman"/>
          <w:kern w:val="0"/>
          <w:sz w:val="30"/>
          <w:szCs w:val="30"/>
        </w:rPr>
        <w:t>》课程</w:t>
      </w:r>
      <w:r w:rsidRPr="00DA38E5">
        <w:rPr>
          <w:rFonts w:ascii="Times New Roman" w:eastAsia="黑体" w:hAnsi="Times New Roman"/>
          <w:kern w:val="0"/>
          <w:sz w:val="30"/>
          <w:szCs w:val="30"/>
        </w:rPr>
        <w:t>简介</w:t>
      </w:r>
    </w:p>
    <w:p w14:paraId="0F6A09AF" w14:textId="77777777" w:rsidR="00272FAD" w:rsidRPr="00DA38E5" w:rsidRDefault="0090108E" w:rsidP="00272FAD">
      <w:pPr>
        <w:spacing w:line="560" w:lineRule="exact"/>
        <w:jc w:val="center"/>
        <w:rPr>
          <w:rFonts w:ascii="Times New Roman" w:eastAsia="仿宋_GB2312" w:hAnsi="Times New Roman"/>
          <w:bCs/>
          <w:color w:val="000000"/>
          <w:kern w:val="0"/>
          <w:sz w:val="28"/>
          <w:szCs w:val="28"/>
        </w:rPr>
      </w:pPr>
      <w:r>
        <w:rPr>
          <w:rFonts w:ascii="Times New Roman" w:hAnsi="Times New Roman"/>
          <w:bCs/>
          <w:color w:val="000000"/>
          <w:kern w:val="0"/>
          <w:sz w:val="28"/>
          <w:szCs w:val="28"/>
        </w:rPr>
        <w:t>Urban and Real Estate Economics</w:t>
      </w:r>
    </w:p>
    <w:p w14:paraId="72024288" w14:textId="77777777" w:rsidR="00272FAD" w:rsidRPr="00DA38E5" w:rsidRDefault="00272FAD" w:rsidP="0026730C">
      <w:pPr>
        <w:adjustRightInd w:val="0"/>
        <w:snapToGrid w:val="0"/>
        <w:spacing w:line="360" w:lineRule="auto"/>
        <w:jc w:val="center"/>
        <w:rPr>
          <w:rFonts w:ascii="Times New Roman" w:hAnsi="Times New Roman"/>
          <w:b/>
          <w:bCs/>
          <w:color w:val="000000"/>
          <w:kern w:val="0"/>
          <w:sz w:val="28"/>
          <w:szCs w:val="28"/>
        </w:rPr>
      </w:pPr>
    </w:p>
    <w:p w14:paraId="55B7722D" w14:textId="79F778A4" w:rsidR="0026730C" w:rsidRPr="00E05536" w:rsidRDefault="0026730C" w:rsidP="0026730C">
      <w:pPr>
        <w:tabs>
          <w:tab w:val="left" w:pos="4111"/>
        </w:tabs>
        <w:adjustRightInd w:val="0"/>
        <w:snapToGrid w:val="0"/>
        <w:spacing w:line="360" w:lineRule="auto"/>
        <w:rPr>
          <w:rFonts w:ascii="Times New Roman" w:eastAsia="黑体" w:hAnsi="Times New Roman"/>
          <w:szCs w:val="21"/>
        </w:rPr>
      </w:pPr>
      <w:r w:rsidRPr="00E05536">
        <w:rPr>
          <w:rFonts w:ascii="Times New Roman" w:eastAsia="黑体" w:hAnsi="Times New Roman"/>
          <w:szCs w:val="21"/>
        </w:rPr>
        <w:t>课程代码：</w:t>
      </w:r>
      <w:r w:rsidR="00324291" w:rsidRPr="00324291">
        <w:rPr>
          <w:rFonts w:ascii="Times New Roman" w:eastAsia="黑体" w:hAnsi="Times New Roman"/>
          <w:szCs w:val="21"/>
        </w:rPr>
        <w:t>151322B</w:t>
      </w:r>
      <w:r w:rsidRPr="00E05536">
        <w:rPr>
          <w:rFonts w:ascii="Times New Roman" w:eastAsia="黑体" w:hAnsi="Times New Roman"/>
          <w:szCs w:val="21"/>
        </w:rPr>
        <w:tab/>
      </w:r>
      <w:r w:rsidRPr="00E05536">
        <w:rPr>
          <w:rFonts w:ascii="Times New Roman" w:eastAsia="黑体" w:hAnsi="Times New Roman"/>
          <w:b/>
          <w:szCs w:val="21"/>
        </w:rPr>
        <w:t>Course Code</w:t>
      </w:r>
      <w:r w:rsidRPr="00E05536">
        <w:rPr>
          <w:rFonts w:ascii="Times New Roman" w:eastAsia="黑体" w:hAnsi="Times New Roman"/>
          <w:b/>
          <w:szCs w:val="21"/>
        </w:rPr>
        <w:t>：</w:t>
      </w:r>
      <w:r w:rsidR="00324291" w:rsidRPr="00324291">
        <w:rPr>
          <w:rFonts w:ascii="Times New Roman" w:eastAsia="黑体" w:hAnsi="Times New Roman"/>
          <w:b/>
          <w:szCs w:val="21"/>
        </w:rPr>
        <w:t>151322B</w:t>
      </w:r>
    </w:p>
    <w:p w14:paraId="79A40A33" w14:textId="77777777" w:rsidR="0026730C" w:rsidRPr="00E05536" w:rsidRDefault="0026730C" w:rsidP="00E05536">
      <w:pPr>
        <w:tabs>
          <w:tab w:val="left" w:pos="4111"/>
        </w:tabs>
        <w:adjustRightInd w:val="0"/>
        <w:snapToGrid w:val="0"/>
        <w:spacing w:line="360" w:lineRule="auto"/>
        <w:ind w:left="3255" w:hangingChars="1550" w:hanging="3255"/>
        <w:rPr>
          <w:rFonts w:ascii="Times New Roman" w:eastAsia="黑体" w:hAnsi="Times New Roman"/>
          <w:szCs w:val="21"/>
        </w:rPr>
      </w:pPr>
      <w:r w:rsidRPr="00E05536">
        <w:rPr>
          <w:rFonts w:ascii="Times New Roman" w:eastAsia="黑体" w:hAnsi="Times New Roman"/>
          <w:szCs w:val="21"/>
        </w:rPr>
        <w:t>课程名称：</w:t>
      </w:r>
      <w:r w:rsidR="0090108E" w:rsidRPr="00E05536">
        <w:rPr>
          <w:rFonts w:ascii="Times New Roman" w:eastAsia="黑体" w:hAnsi="Times New Roman" w:hint="eastAsia"/>
          <w:szCs w:val="21"/>
        </w:rPr>
        <w:t>城市与房地产经济学</w:t>
      </w:r>
      <w:r w:rsidR="00E05536" w:rsidRPr="00E05536">
        <w:rPr>
          <w:rFonts w:ascii="Times New Roman" w:eastAsia="黑体" w:hAnsi="Times New Roman" w:hint="eastAsia"/>
          <w:szCs w:val="21"/>
        </w:rPr>
        <w:t>(</w:t>
      </w:r>
      <w:r w:rsidR="00E05536" w:rsidRPr="00E05536">
        <w:rPr>
          <w:rFonts w:ascii="Times New Roman" w:eastAsia="黑体" w:hAnsi="Times New Roman" w:hint="eastAsia"/>
          <w:szCs w:val="21"/>
        </w:rPr>
        <w:t>英语</w:t>
      </w:r>
      <w:r w:rsidR="00E05536" w:rsidRPr="00E05536">
        <w:rPr>
          <w:rFonts w:ascii="Times New Roman" w:eastAsia="黑体" w:hAnsi="Times New Roman" w:hint="eastAsia"/>
          <w:szCs w:val="21"/>
        </w:rPr>
        <w:t>)</w:t>
      </w:r>
      <w:r w:rsidRPr="00E05536">
        <w:rPr>
          <w:rFonts w:ascii="Times New Roman" w:eastAsia="黑体" w:hAnsi="Times New Roman"/>
          <w:szCs w:val="21"/>
        </w:rPr>
        <w:tab/>
      </w:r>
      <w:r w:rsidRPr="00E05536">
        <w:rPr>
          <w:rFonts w:ascii="Times New Roman" w:eastAsia="黑体" w:hAnsi="Times New Roman"/>
          <w:b/>
          <w:szCs w:val="21"/>
        </w:rPr>
        <w:t>Course Name</w:t>
      </w:r>
      <w:r w:rsidRPr="00E05536">
        <w:rPr>
          <w:rFonts w:ascii="Times New Roman" w:eastAsia="黑体" w:hAnsi="Times New Roman"/>
          <w:b/>
          <w:szCs w:val="21"/>
        </w:rPr>
        <w:t>：</w:t>
      </w:r>
      <w:r w:rsidR="0090108E" w:rsidRPr="00E05536">
        <w:rPr>
          <w:rFonts w:ascii="Times New Roman" w:eastAsia="黑体" w:hAnsi="Times New Roman"/>
          <w:szCs w:val="21"/>
        </w:rPr>
        <w:t>Urban and Real Estate Economics</w:t>
      </w:r>
    </w:p>
    <w:p w14:paraId="25284F46" w14:textId="77777777" w:rsidR="0026730C" w:rsidRPr="00E05536" w:rsidRDefault="0026730C" w:rsidP="0026730C">
      <w:pPr>
        <w:tabs>
          <w:tab w:val="left" w:pos="4111"/>
        </w:tabs>
        <w:adjustRightInd w:val="0"/>
        <w:snapToGrid w:val="0"/>
        <w:spacing w:line="360" w:lineRule="auto"/>
        <w:rPr>
          <w:rFonts w:ascii="Times New Roman" w:eastAsia="黑体" w:hAnsi="Times New Roman"/>
          <w:szCs w:val="21"/>
        </w:rPr>
      </w:pPr>
      <w:r w:rsidRPr="00E05536">
        <w:rPr>
          <w:rFonts w:ascii="Times New Roman" w:eastAsia="黑体" w:hAnsi="Times New Roman"/>
          <w:szCs w:val="21"/>
        </w:rPr>
        <w:t>学时：</w:t>
      </w:r>
      <w:r w:rsidR="0090108E" w:rsidRPr="00E05536">
        <w:rPr>
          <w:rFonts w:ascii="Times New Roman" w:eastAsia="黑体" w:hAnsi="Times New Roman"/>
          <w:szCs w:val="21"/>
        </w:rPr>
        <w:t>32</w:t>
      </w:r>
      <w:r w:rsidRPr="00E05536">
        <w:rPr>
          <w:rFonts w:ascii="Times New Roman" w:eastAsia="黑体" w:hAnsi="Times New Roman"/>
          <w:szCs w:val="21"/>
        </w:rPr>
        <w:tab/>
      </w:r>
      <w:r w:rsidRPr="00E05536">
        <w:rPr>
          <w:rFonts w:ascii="Times New Roman" w:eastAsia="黑体" w:hAnsi="Times New Roman"/>
          <w:b/>
          <w:szCs w:val="21"/>
        </w:rPr>
        <w:t>Periods</w:t>
      </w:r>
      <w:r w:rsidRPr="00E05536">
        <w:rPr>
          <w:rFonts w:ascii="Times New Roman" w:eastAsia="黑体" w:hAnsi="Times New Roman"/>
          <w:b/>
          <w:szCs w:val="21"/>
        </w:rPr>
        <w:t>：</w:t>
      </w:r>
      <w:r w:rsidR="0090108E" w:rsidRPr="00E05536">
        <w:rPr>
          <w:rFonts w:ascii="Times New Roman" w:eastAsia="黑体" w:hAnsi="Times New Roman"/>
          <w:szCs w:val="21"/>
        </w:rPr>
        <w:t>32</w:t>
      </w:r>
    </w:p>
    <w:p w14:paraId="1675F6F1" w14:textId="77777777" w:rsidR="0026730C" w:rsidRPr="00E05536" w:rsidRDefault="0026730C" w:rsidP="0026730C">
      <w:pPr>
        <w:tabs>
          <w:tab w:val="left" w:pos="4111"/>
        </w:tabs>
        <w:adjustRightInd w:val="0"/>
        <w:snapToGrid w:val="0"/>
        <w:spacing w:line="360" w:lineRule="auto"/>
        <w:rPr>
          <w:rFonts w:ascii="Times New Roman" w:eastAsia="黑体" w:hAnsi="Times New Roman"/>
          <w:szCs w:val="21"/>
        </w:rPr>
      </w:pPr>
      <w:r w:rsidRPr="00E05536">
        <w:rPr>
          <w:rFonts w:ascii="Times New Roman" w:eastAsia="黑体" w:hAnsi="Times New Roman"/>
          <w:szCs w:val="21"/>
        </w:rPr>
        <w:t>学分：</w:t>
      </w:r>
      <w:r w:rsidR="0090108E" w:rsidRPr="00E05536">
        <w:rPr>
          <w:rFonts w:ascii="Times New Roman" w:eastAsia="黑体" w:hAnsi="Times New Roman"/>
          <w:szCs w:val="21"/>
        </w:rPr>
        <w:t>2</w:t>
      </w:r>
      <w:r w:rsidRPr="00E05536">
        <w:rPr>
          <w:rFonts w:ascii="Times New Roman" w:eastAsia="黑体" w:hAnsi="Times New Roman"/>
          <w:szCs w:val="21"/>
        </w:rPr>
        <w:tab/>
      </w:r>
      <w:r w:rsidRPr="00E05536">
        <w:rPr>
          <w:rFonts w:ascii="Times New Roman" w:eastAsia="黑体" w:hAnsi="Times New Roman"/>
          <w:b/>
          <w:szCs w:val="21"/>
        </w:rPr>
        <w:t>Credits</w:t>
      </w:r>
      <w:r w:rsidRPr="00E05536">
        <w:rPr>
          <w:rFonts w:ascii="Times New Roman" w:eastAsia="黑体" w:hAnsi="Times New Roman"/>
          <w:b/>
          <w:szCs w:val="21"/>
        </w:rPr>
        <w:t>：</w:t>
      </w:r>
      <w:r w:rsidR="0090108E" w:rsidRPr="00E05536">
        <w:rPr>
          <w:rFonts w:ascii="Times New Roman" w:eastAsia="黑体" w:hAnsi="Times New Roman"/>
          <w:szCs w:val="21"/>
        </w:rPr>
        <w:t>2</w:t>
      </w:r>
    </w:p>
    <w:p w14:paraId="468F2C1B" w14:textId="77777777" w:rsidR="00483A18" w:rsidRPr="00E05536" w:rsidRDefault="0026730C" w:rsidP="00BF75C8">
      <w:pPr>
        <w:tabs>
          <w:tab w:val="left" w:pos="4111"/>
        </w:tabs>
        <w:adjustRightInd w:val="0"/>
        <w:snapToGrid w:val="0"/>
        <w:spacing w:line="360" w:lineRule="auto"/>
        <w:rPr>
          <w:rFonts w:ascii="Times New Roman" w:eastAsia="黑体" w:hAnsi="Times New Roman"/>
          <w:szCs w:val="21"/>
        </w:rPr>
      </w:pPr>
      <w:r w:rsidRPr="00E05536">
        <w:rPr>
          <w:rFonts w:ascii="Times New Roman" w:eastAsia="黑体" w:hAnsi="Times New Roman"/>
          <w:szCs w:val="21"/>
        </w:rPr>
        <w:t>考核方式：</w:t>
      </w:r>
      <w:r w:rsidR="00483A18" w:rsidRPr="00E05536">
        <w:rPr>
          <w:rFonts w:ascii="Times New Roman" w:eastAsia="黑体" w:hAnsi="Times New Roman"/>
          <w:szCs w:val="21"/>
        </w:rPr>
        <w:t>考查</w:t>
      </w:r>
      <w:r w:rsidRPr="00E05536">
        <w:rPr>
          <w:rFonts w:ascii="Times New Roman" w:eastAsia="黑体" w:hAnsi="Times New Roman"/>
          <w:szCs w:val="21"/>
        </w:rPr>
        <w:tab/>
      </w:r>
      <w:r w:rsidR="00483A18" w:rsidRPr="00E05536">
        <w:rPr>
          <w:rFonts w:ascii="Times New Roman" w:eastAsia="黑体" w:hAnsi="Times New Roman"/>
          <w:b/>
          <w:szCs w:val="21"/>
        </w:rPr>
        <w:t>Assessment</w:t>
      </w:r>
      <w:r w:rsidR="00483A18" w:rsidRPr="00E05536">
        <w:rPr>
          <w:rFonts w:ascii="Times New Roman" w:eastAsia="黑体" w:hAnsi="Times New Roman"/>
          <w:b/>
          <w:bCs/>
          <w:szCs w:val="21"/>
        </w:rPr>
        <w:t>：</w:t>
      </w:r>
      <w:r w:rsidR="00483A18" w:rsidRPr="00E05536">
        <w:rPr>
          <w:rFonts w:ascii="Times New Roman" w:eastAsia="黑体" w:hAnsi="Times New Roman"/>
          <w:szCs w:val="21"/>
        </w:rPr>
        <w:t>Assignment</w:t>
      </w:r>
    </w:p>
    <w:p w14:paraId="7D9BD641" w14:textId="77777777" w:rsidR="00483A18" w:rsidRPr="00E05536" w:rsidRDefault="00483A18" w:rsidP="00BF75C8">
      <w:pPr>
        <w:tabs>
          <w:tab w:val="left" w:pos="4111"/>
        </w:tabs>
        <w:adjustRightInd w:val="0"/>
        <w:snapToGrid w:val="0"/>
        <w:spacing w:line="360" w:lineRule="auto"/>
        <w:rPr>
          <w:rFonts w:ascii="Times New Roman" w:eastAsia="黑体" w:hAnsi="Times New Roman"/>
          <w:szCs w:val="21"/>
        </w:rPr>
      </w:pPr>
      <w:r w:rsidRPr="00E05536">
        <w:rPr>
          <w:rFonts w:ascii="Times New Roman" w:eastAsia="黑体" w:hAnsi="Times New Roman"/>
          <w:szCs w:val="21"/>
        </w:rPr>
        <w:t>先修课程：</w:t>
      </w:r>
      <w:r w:rsidR="0090108E" w:rsidRPr="00E05536">
        <w:rPr>
          <w:rFonts w:ascii="Times New Roman" w:eastAsia="黑体" w:hAnsi="Times New Roman" w:hint="eastAsia"/>
          <w:szCs w:val="21"/>
        </w:rPr>
        <w:t>中级微观经济学</w:t>
      </w:r>
      <w:r w:rsidR="00A03FE0" w:rsidRPr="00E05536">
        <w:rPr>
          <w:rFonts w:ascii="Times New Roman" w:eastAsia="黑体" w:hAnsi="Times New Roman" w:hint="eastAsia"/>
          <w:szCs w:val="21"/>
        </w:rPr>
        <w:t xml:space="preserve">             </w:t>
      </w:r>
      <w:r w:rsidRPr="00E05536">
        <w:rPr>
          <w:rFonts w:ascii="Times New Roman" w:eastAsia="黑体" w:hAnsi="Times New Roman"/>
          <w:b/>
          <w:bCs/>
          <w:szCs w:val="21"/>
        </w:rPr>
        <w:t>Preparatory Courses</w:t>
      </w:r>
      <w:r w:rsidRPr="00E05536">
        <w:rPr>
          <w:rFonts w:ascii="Times New Roman" w:eastAsia="黑体" w:hAnsi="Times New Roman"/>
          <w:b/>
          <w:bCs/>
          <w:szCs w:val="21"/>
        </w:rPr>
        <w:t>：</w:t>
      </w:r>
      <w:r w:rsidR="0090108E" w:rsidRPr="00E05536">
        <w:rPr>
          <w:rFonts w:ascii="Times New Roman" w:eastAsia="黑体" w:hAnsi="Times New Roman"/>
          <w:bCs/>
          <w:szCs w:val="21"/>
        </w:rPr>
        <w:t>Intermediate Microeconomics</w:t>
      </w:r>
    </w:p>
    <w:p w14:paraId="5E7782A2" w14:textId="77777777" w:rsidR="008319AE" w:rsidRPr="00DA38E5" w:rsidRDefault="008319AE" w:rsidP="00483A18">
      <w:pPr>
        <w:tabs>
          <w:tab w:val="left" w:pos="4111"/>
        </w:tabs>
        <w:adjustRightInd w:val="0"/>
        <w:snapToGrid w:val="0"/>
        <w:spacing w:line="360" w:lineRule="auto"/>
        <w:rPr>
          <w:rFonts w:ascii="Times New Roman" w:eastAsia="黑体" w:hAnsi="Times New Roman"/>
          <w:szCs w:val="21"/>
        </w:rPr>
      </w:pPr>
    </w:p>
    <w:p w14:paraId="29DB66FB" w14:textId="77777777" w:rsidR="007501EA" w:rsidRPr="00DA38E5" w:rsidRDefault="007501EA" w:rsidP="007501EA">
      <w:pPr>
        <w:tabs>
          <w:tab w:val="left" w:pos="6237"/>
        </w:tabs>
        <w:adjustRightInd w:val="0"/>
        <w:snapToGrid w:val="0"/>
        <w:spacing w:line="360" w:lineRule="auto"/>
        <w:ind w:firstLineChars="521" w:firstLine="1094"/>
        <w:jc w:val="left"/>
        <w:rPr>
          <w:rFonts w:ascii="Times New Roman" w:hAnsi="Times New Roman"/>
          <w:szCs w:val="21"/>
        </w:rPr>
      </w:pPr>
      <w:r w:rsidRPr="00DA38E5">
        <w:rPr>
          <w:rFonts w:ascii="Times New Roman" w:hAnsi="Times New Roman"/>
          <w:szCs w:val="21"/>
        </w:rPr>
        <w:tab/>
      </w:r>
    </w:p>
    <w:p w14:paraId="610A74C3" w14:textId="446B1D6D" w:rsidR="00684646" w:rsidRPr="00A03FE0" w:rsidRDefault="00FE633B" w:rsidP="00A03FE0">
      <w:pPr>
        <w:widowControl/>
        <w:adjustRightInd w:val="0"/>
        <w:snapToGrid w:val="0"/>
        <w:spacing w:line="360" w:lineRule="auto"/>
        <w:ind w:firstLineChars="200" w:firstLine="480"/>
        <w:rPr>
          <w:rFonts w:ascii="Times New Roman" w:hAnsi="Times New Roman"/>
          <w:kern w:val="0"/>
          <w:sz w:val="24"/>
          <w:szCs w:val="24"/>
        </w:rPr>
      </w:pPr>
      <w:r w:rsidRPr="00A03FE0">
        <w:rPr>
          <w:rFonts w:ascii="Times New Roman" w:hAnsi="Times New Roman" w:hint="eastAsia"/>
          <w:kern w:val="0"/>
          <w:sz w:val="24"/>
          <w:szCs w:val="24"/>
        </w:rPr>
        <w:t>该课程讲授城市与房地产市场相关概念与经济分析理论框架。主要包括三部分内容。第一部分就经济资源在城市内部空间如何配置进行理论与实证分析，主要讲授城市空间结构等相关内容。第二部分就经济资源在城市之间如何配置进行理论与实证分析，主要建立在新经济地理等理论框架的基础上。第三部分就城市房地产市场发展演变背后的经济学动力机制进行理论与实证分析，并探讨城市住房市场发展中所产生的一系列政策与规划问题。</w:t>
      </w:r>
      <w:r w:rsidR="007B0E85">
        <w:rPr>
          <w:rFonts w:ascii="Times New Roman" w:hAnsi="Times New Roman" w:hint="eastAsia"/>
          <w:kern w:val="0"/>
          <w:sz w:val="24"/>
          <w:szCs w:val="24"/>
        </w:rPr>
        <w:t>该课程可帮助学生客观准确认识我国城市发展成绩，培养爱国情怀。</w:t>
      </w:r>
      <w:bookmarkStart w:id="0" w:name="_GoBack"/>
      <w:bookmarkEnd w:id="0"/>
    </w:p>
    <w:p w14:paraId="692E44EA" w14:textId="77777777" w:rsidR="00FE633B" w:rsidRDefault="00FE633B" w:rsidP="00B7487D">
      <w:pPr>
        <w:widowControl/>
        <w:adjustRightInd w:val="0"/>
        <w:snapToGrid w:val="0"/>
        <w:spacing w:line="360" w:lineRule="auto"/>
        <w:ind w:firstLineChars="200" w:firstLine="420"/>
        <w:rPr>
          <w:rStyle w:val="longtext1"/>
          <w:rFonts w:ascii="Times New Roman" w:hAnsi="Times New Roman"/>
          <w:color w:val="000000"/>
          <w:sz w:val="21"/>
          <w:szCs w:val="21"/>
          <w:shd w:val="clear" w:color="auto" w:fill="FFFFFF"/>
        </w:rPr>
      </w:pPr>
    </w:p>
    <w:p w14:paraId="2F16AA50" w14:textId="77777777" w:rsidR="00FE633B" w:rsidRPr="00A03FE0" w:rsidRDefault="00FE633B" w:rsidP="00A03FE0">
      <w:pPr>
        <w:widowControl/>
        <w:adjustRightInd w:val="0"/>
        <w:snapToGrid w:val="0"/>
        <w:spacing w:line="360" w:lineRule="auto"/>
        <w:ind w:firstLineChars="200" w:firstLine="480"/>
        <w:rPr>
          <w:rStyle w:val="longtext1"/>
          <w:rFonts w:ascii="Times New Roman" w:hAnsi="Times New Roman"/>
          <w:color w:val="000000"/>
          <w:sz w:val="24"/>
          <w:szCs w:val="24"/>
          <w:shd w:val="clear" w:color="auto" w:fill="FFFFFF"/>
        </w:rPr>
      </w:pPr>
      <w:r w:rsidRPr="00A03FE0">
        <w:rPr>
          <w:rStyle w:val="longtext1"/>
          <w:rFonts w:ascii="Times New Roman" w:hAnsi="Times New Roman" w:hint="eastAsia"/>
          <w:color w:val="000000"/>
          <w:sz w:val="24"/>
          <w:szCs w:val="24"/>
          <w:shd w:val="clear" w:color="auto" w:fill="FFFFFF"/>
        </w:rPr>
        <w:t>This course teaches relevant concepts and theoretical framework in urban and real estate econ</w:t>
      </w:r>
      <w:r w:rsidRPr="00A03FE0">
        <w:rPr>
          <w:rStyle w:val="longtext1"/>
          <w:rFonts w:ascii="Times New Roman" w:hAnsi="Times New Roman"/>
          <w:color w:val="000000"/>
          <w:sz w:val="24"/>
          <w:szCs w:val="24"/>
          <w:shd w:val="clear" w:color="auto" w:fill="FFFFFF"/>
        </w:rPr>
        <w:t xml:space="preserve">omics. It includes three main parts. The first part involves theoretical and empirical analysis on the resource allocation within a city, primarily on urban spatial structure. The second part involves theoretical and empirical analysis on the resource allocation between cities, primarily built on New Economic Geography. The third part </w:t>
      </w:r>
      <w:r w:rsidR="00D15C63" w:rsidRPr="00A03FE0">
        <w:rPr>
          <w:rStyle w:val="longtext1"/>
          <w:rFonts w:ascii="Times New Roman" w:hAnsi="Times New Roman"/>
          <w:color w:val="000000"/>
          <w:sz w:val="24"/>
          <w:szCs w:val="24"/>
          <w:shd w:val="clear" w:color="auto" w:fill="FFFFFF"/>
        </w:rPr>
        <w:t>teaches economic forces behind the development of real estate market, and discusses policy and planning issues in urban housing market.</w:t>
      </w:r>
    </w:p>
    <w:p w14:paraId="139088B8" w14:textId="77777777" w:rsidR="003023DA" w:rsidRPr="00DA38E5" w:rsidRDefault="003023DA" w:rsidP="00B96596">
      <w:pPr>
        <w:widowControl/>
        <w:adjustRightInd w:val="0"/>
        <w:snapToGrid w:val="0"/>
        <w:spacing w:line="360" w:lineRule="auto"/>
        <w:ind w:firstLineChars="200" w:firstLine="420"/>
        <w:rPr>
          <w:rStyle w:val="longtext1"/>
          <w:rFonts w:ascii="Times New Roman" w:hAnsi="Times New Roman"/>
          <w:color w:val="000000"/>
          <w:sz w:val="21"/>
          <w:szCs w:val="21"/>
          <w:shd w:val="clear" w:color="auto" w:fill="FFFFFF"/>
        </w:rPr>
      </w:pPr>
    </w:p>
    <w:sectPr w:rsidR="003023DA" w:rsidRPr="00DA38E5" w:rsidSect="006F78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86C4B" w14:textId="77777777" w:rsidR="00404ADC" w:rsidRDefault="00404ADC" w:rsidP="00B7487D">
      <w:r>
        <w:separator/>
      </w:r>
    </w:p>
  </w:endnote>
  <w:endnote w:type="continuationSeparator" w:id="0">
    <w:p w14:paraId="09B7087E" w14:textId="77777777" w:rsidR="00404ADC" w:rsidRDefault="00404ADC" w:rsidP="00B74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B02982" w14:textId="77777777" w:rsidR="00404ADC" w:rsidRDefault="00404ADC" w:rsidP="00B7487D">
      <w:r>
        <w:separator/>
      </w:r>
    </w:p>
  </w:footnote>
  <w:footnote w:type="continuationSeparator" w:id="0">
    <w:p w14:paraId="4327D33A" w14:textId="77777777" w:rsidR="00404ADC" w:rsidRDefault="00404ADC" w:rsidP="00B748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319AE"/>
    <w:rsid w:val="0000260D"/>
    <w:rsid w:val="000118DD"/>
    <w:rsid w:val="00045A65"/>
    <w:rsid w:val="0004645E"/>
    <w:rsid w:val="000749A2"/>
    <w:rsid w:val="000842FA"/>
    <w:rsid w:val="00091815"/>
    <w:rsid w:val="000979C6"/>
    <w:rsid w:val="000A422B"/>
    <w:rsid w:val="000C0941"/>
    <w:rsid w:val="001045DF"/>
    <w:rsid w:val="00132C9D"/>
    <w:rsid w:val="0015502A"/>
    <w:rsid w:val="00155B68"/>
    <w:rsid w:val="001B21CE"/>
    <w:rsid w:val="001C0C87"/>
    <w:rsid w:val="002265A5"/>
    <w:rsid w:val="002412C4"/>
    <w:rsid w:val="0026730C"/>
    <w:rsid w:val="00272FAD"/>
    <w:rsid w:val="0028264D"/>
    <w:rsid w:val="0028583A"/>
    <w:rsid w:val="002946E7"/>
    <w:rsid w:val="002B7AAE"/>
    <w:rsid w:val="003023DA"/>
    <w:rsid w:val="00322D3E"/>
    <w:rsid w:val="00324291"/>
    <w:rsid w:val="00327061"/>
    <w:rsid w:val="00341CC5"/>
    <w:rsid w:val="00363E67"/>
    <w:rsid w:val="003711BB"/>
    <w:rsid w:val="003D0DDF"/>
    <w:rsid w:val="003E51C5"/>
    <w:rsid w:val="003F097A"/>
    <w:rsid w:val="00402F9B"/>
    <w:rsid w:val="00404ADC"/>
    <w:rsid w:val="004131CF"/>
    <w:rsid w:val="0045653B"/>
    <w:rsid w:val="00483A18"/>
    <w:rsid w:val="004911E2"/>
    <w:rsid w:val="004E3DBD"/>
    <w:rsid w:val="004E6A67"/>
    <w:rsid w:val="00504421"/>
    <w:rsid w:val="005C7188"/>
    <w:rsid w:val="005E5267"/>
    <w:rsid w:val="006776E5"/>
    <w:rsid w:val="006B7114"/>
    <w:rsid w:val="006E4FD0"/>
    <w:rsid w:val="006F7898"/>
    <w:rsid w:val="00720E15"/>
    <w:rsid w:val="007501EA"/>
    <w:rsid w:val="00776D56"/>
    <w:rsid w:val="007B0E85"/>
    <w:rsid w:val="007F18CD"/>
    <w:rsid w:val="008319AE"/>
    <w:rsid w:val="00855158"/>
    <w:rsid w:val="00872C72"/>
    <w:rsid w:val="00887909"/>
    <w:rsid w:val="008A1EC0"/>
    <w:rsid w:val="008F2DDF"/>
    <w:rsid w:val="00900B33"/>
    <w:rsid w:val="0090108E"/>
    <w:rsid w:val="0091299F"/>
    <w:rsid w:val="00923966"/>
    <w:rsid w:val="0092418C"/>
    <w:rsid w:val="00942297"/>
    <w:rsid w:val="00974CC1"/>
    <w:rsid w:val="0098395F"/>
    <w:rsid w:val="009D043F"/>
    <w:rsid w:val="009D2706"/>
    <w:rsid w:val="00A03FE0"/>
    <w:rsid w:val="00A4564B"/>
    <w:rsid w:val="00A55996"/>
    <w:rsid w:val="00A618D5"/>
    <w:rsid w:val="00AE4D39"/>
    <w:rsid w:val="00AF6E18"/>
    <w:rsid w:val="00B30396"/>
    <w:rsid w:val="00B7487D"/>
    <w:rsid w:val="00B84226"/>
    <w:rsid w:val="00B9600B"/>
    <w:rsid w:val="00B96596"/>
    <w:rsid w:val="00BC625E"/>
    <w:rsid w:val="00BD6AF6"/>
    <w:rsid w:val="00BE48E4"/>
    <w:rsid w:val="00BF75C8"/>
    <w:rsid w:val="00C06174"/>
    <w:rsid w:val="00C50750"/>
    <w:rsid w:val="00C7706A"/>
    <w:rsid w:val="00C840EE"/>
    <w:rsid w:val="00C96F11"/>
    <w:rsid w:val="00CA44FF"/>
    <w:rsid w:val="00CB013D"/>
    <w:rsid w:val="00D14E2D"/>
    <w:rsid w:val="00D15C63"/>
    <w:rsid w:val="00D214C5"/>
    <w:rsid w:val="00D413A3"/>
    <w:rsid w:val="00D95B47"/>
    <w:rsid w:val="00DA38E5"/>
    <w:rsid w:val="00DB262D"/>
    <w:rsid w:val="00DC2D14"/>
    <w:rsid w:val="00DC51EC"/>
    <w:rsid w:val="00DD2230"/>
    <w:rsid w:val="00DE7E1A"/>
    <w:rsid w:val="00E05536"/>
    <w:rsid w:val="00E17EC3"/>
    <w:rsid w:val="00EC62AA"/>
    <w:rsid w:val="00ED57B3"/>
    <w:rsid w:val="00F148E7"/>
    <w:rsid w:val="00F31E4C"/>
    <w:rsid w:val="00F34E4F"/>
    <w:rsid w:val="00F43950"/>
    <w:rsid w:val="00FA31AE"/>
    <w:rsid w:val="00FD7B2B"/>
    <w:rsid w:val="00FE63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D70537"/>
  <w15:docId w15:val="{4A66FAA9-FCB3-43B8-BFD3-E085099A8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19AE"/>
    <w:pPr>
      <w:widowControl w:val="0"/>
      <w:jc w:val="both"/>
    </w:pPr>
    <w:rPr>
      <w:rFonts w:ascii="Calibri" w:eastAsia="宋体" w:hAnsi="Calibri" w:cs="Times New Roman"/>
    </w:rPr>
  </w:style>
  <w:style w:type="paragraph" w:styleId="2">
    <w:name w:val="heading 2"/>
    <w:basedOn w:val="a"/>
    <w:next w:val="a"/>
    <w:link w:val="20"/>
    <w:uiPriority w:val="9"/>
    <w:unhideWhenUsed/>
    <w:qFormat/>
    <w:rsid w:val="008319AE"/>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8319AE"/>
    <w:rPr>
      <w:rFonts w:ascii="Cambria" w:eastAsia="宋体" w:hAnsi="Cambria" w:cs="Times New Roman"/>
      <w:b/>
      <w:bCs/>
      <w:sz w:val="32"/>
      <w:szCs w:val="32"/>
    </w:rPr>
  </w:style>
  <w:style w:type="character" w:customStyle="1" w:styleId="longtext1">
    <w:name w:val="long_text1"/>
    <w:basedOn w:val="a0"/>
    <w:rsid w:val="008319AE"/>
    <w:rPr>
      <w:sz w:val="20"/>
      <w:szCs w:val="20"/>
    </w:rPr>
  </w:style>
  <w:style w:type="paragraph" w:styleId="a3">
    <w:name w:val="Balloon Text"/>
    <w:basedOn w:val="a"/>
    <w:link w:val="a4"/>
    <w:uiPriority w:val="99"/>
    <w:semiHidden/>
    <w:unhideWhenUsed/>
    <w:rsid w:val="00341CC5"/>
    <w:rPr>
      <w:sz w:val="18"/>
      <w:szCs w:val="18"/>
    </w:rPr>
  </w:style>
  <w:style w:type="character" w:customStyle="1" w:styleId="a4">
    <w:name w:val="批注框文本 字符"/>
    <w:basedOn w:val="a0"/>
    <w:link w:val="a3"/>
    <w:uiPriority w:val="99"/>
    <w:semiHidden/>
    <w:rsid w:val="00341CC5"/>
    <w:rPr>
      <w:rFonts w:ascii="Calibri" w:eastAsia="宋体" w:hAnsi="Calibri" w:cs="Times New Roman"/>
      <w:sz w:val="18"/>
      <w:szCs w:val="18"/>
    </w:rPr>
  </w:style>
  <w:style w:type="paragraph" w:styleId="a5">
    <w:name w:val="header"/>
    <w:basedOn w:val="a"/>
    <w:link w:val="a6"/>
    <w:uiPriority w:val="99"/>
    <w:unhideWhenUsed/>
    <w:rsid w:val="00B7487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7487D"/>
    <w:rPr>
      <w:rFonts w:ascii="Calibri" w:eastAsia="宋体" w:hAnsi="Calibri" w:cs="Times New Roman"/>
      <w:sz w:val="18"/>
      <w:szCs w:val="18"/>
    </w:rPr>
  </w:style>
  <w:style w:type="paragraph" w:styleId="a7">
    <w:name w:val="footer"/>
    <w:basedOn w:val="a"/>
    <w:link w:val="a8"/>
    <w:uiPriority w:val="99"/>
    <w:unhideWhenUsed/>
    <w:rsid w:val="00B7487D"/>
    <w:pPr>
      <w:tabs>
        <w:tab w:val="center" w:pos="4153"/>
        <w:tab w:val="right" w:pos="8306"/>
      </w:tabs>
      <w:snapToGrid w:val="0"/>
      <w:jc w:val="left"/>
    </w:pPr>
    <w:rPr>
      <w:sz w:val="18"/>
      <w:szCs w:val="18"/>
    </w:rPr>
  </w:style>
  <w:style w:type="character" w:customStyle="1" w:styleId="a8">
    <w:name w:val="页脚 字符"/>
    <w:basedOn w:val="a0"/>
    <w:link w:val="a7"/>
    <w:uiPriority w:val="99"/>
    <w:rsid w:val="00B7487D"/>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72908">
      <w:bodyDiv w:val="1"/>
      <w:marLeft w:val="0"/>
      <w:marRight w:val="0"/>
      <w:marTop w:val="0"/>
      <w:marBottom w:val="0"/>
      <w:divBdr>
        <w:top w:val="none" w:sz="0" w:space="0" w:color="auto"/>
        <w:left w:val="none" w:sz="0" w:space="0" w:color="auto"/>
        <w:bottom w:val="none" w:sz="0" w:space="0" w:color="auto"/>
        <w:right w:val="none" w:sz="0" w:space="0" w:color="auto"/>
      </w:divBdr>
      <w:divsChild>
        <w:div w:id="1571816912">
          <w:marLeft w:val="0"/>
          <w:marRight w:val="0"/>
          <w:marTop w:val="0"/>
          <w:marBottom w:val="0"/>
          <w:divBdr>
            <w:top w:val="none" w:sz="0" w:space="0" w:color="auto"/>
            <w:left w:val="none" w:sz="0" w:space="0" w:color="auto"/>
            <w:bottom w:val="none" w:sz="0" w:space="0" w:color="auto"/>
            <w:right w:val="none" w:sz="0" w:space="0" w:color="auto"/>
          </w:divBdr>
          <w:divsChild>
            <w:div w:id="903641986">
              <w:marLeft w:val="0"/>
              <w:marRight w:val="0"/>
              <w:marTop w:val="0"/>
              <w:marBottom w:val="0"/>
              <w:divBdr>
                <w:top w:val="none" w:sz="0" w:space="0" w:color="auto"/>
                <w:left w:val="none" w:sz="0" w:space="0" w:color="auto"/>
                <w:bottom w:val="none" w:sz="0" w:space="0" w:color="auto"/>
                <w:right w:val="none" w:sz="0" w:space="0" w:color="auto"/>
              </w:divBdr>
              <w:divsChild>
                <w:div w:id="1712225941">
                  <w:marLeft w:val="0"/>
                  <w:marRight w:val="0"/>
                  <w:marTop w:val="0"/>
                  <w:marBottom w:val="0"/>
                  <w:divBdr>
                    <w:top w:val="none" w:sz="0" w:space="0" w:color="auto"/>
                    <w:left w:val="none" w:sz="0" w:space="0" w:color="auto"/>
                    <w:bottom w:val="none" w:sz="0" w:space="0" w:color="auto"/>
                    <w:right w:val="none" w:sz="0" w:space="0" w:color="auto"/>
                  </w:divBdr>
                  <w:divsChild>
                    <w:div w:id="691034384">
                      <w:marLeft w:val="0"/>
                      <w:marRight w:val="0"/>
                      <w:marTop w:val="0"/>
                      <w:marBottom w:val="210"/>
                      <w:divBdr>
                        <w:top w:val="none" w:sz="0" w:space="0" w:color="auto"/>
                        <w:left w:val="none" w:sz="0" w:space="0" w:color="auto"/>
                        <w:bottom w:val="none" w:sz="0" w:space="0" w:color="auto"/>
                        <w:right w:val="none" w:sz="0" w:space="0" w:color="auto"/>
                      </w:divBdr>
                      <w:divsChild>
                        <w:div w:id="719288503">
                          <w:marLeft w:val="0"/>
                          <w:marRight w:val="0"/>
                          <w:marTop w:val="0"/>
                          <w:marBottom w:val="0"/>
                          <w:divBdr>
                            <w:top w:val="none" w:sz="0" w:space="0" w:color="auto"/>
                            <w:left w:val="none" w:sz="0" w:space="0" w:color="auto"/>
                            <w:bottom w:val="none" w:sz="0" w:space="0" w:color="auto"/>
                            <w:right w:val="none" w:sz="0" w:space="0" w:color="auto"/>
                          </w:divBdr>
                          <w:divsChild>
                            <w:div w:id="210699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161</Words>
  <Characters>919</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Yi</cp:lastModifiedBy>
  <cp:revision>12</cp:revision>
  <cp:lastPrinted>2013-11-19T08:57:00Z</cp:lastPrinted>
  <dcterms:created xsi:type="dcterms:W3CDTF">2018-04-24T14:11:00Z</dcterms:created>
  <dcterms:modified xsi:type="dcterms:W3CDTF">2021-04-23T07:12:00Z</dcterms:modified>
</cp:coreProperties>
</file>