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sz w:val="32"/>
          <w:szCs w:val="32"/>
        </w:rPr>
      </w:pPr>
      <w:r>
        <w:rPr>
          <w:rFonts w:ascii="Times New Roman" w:hAnsi="Times New Roman" w:eastAsia="黑体"/>
          <w:kern w:val="0"/>
          <w:sz w:val="30"/>
          <w:szCs w:val="30"/>
        </w:rPr>
        <w:t>《</w:t>
      </w:r>
      <w:r>
        <w:rPr>
          <w:rFonts w:hint="eastAsia" w:ascii="Times New Roman" w:hAnsi="Times New Roman" w:eastAsia="黑体"/>
          <w:sz w:val="30"/>
          <w:szCs w:val="30"/>
        </w:rPr>
        <w:t>货币银行学(英语)</w:t>
      </w:r>
      <w:r>
        <w:rPr>
          <w:rFonts w:ascii="Times New Roman" w:hAnsi="Times New Roman" w:eastAsia="黑体"/>
          <w:kern w:val="0"/>
          <w:sz w:val="30"/>
          <w:szCs w:val="30"/>
        </w:rPr>
        <w:t>》课程简介</w:t>
      </w:r>
    </w:p>
    <w:p>
      <w:pPr>
        <w:spacing w:line="560" w:lineRule="exact"/>
        <w:jc w:val="center"/>
        <w:rPr>
          <w:rFonts w:ascii="Times New Roman" w:hAnsi="Times New Roman" w:eastAsia="仿宋_GB2312"/>
          <w:bCs/>
          <w:color w:val="000000"/>
          <w:kern w:val="0"/>
          <w:sz w:val="28"/>
          <w:szCs w:val="28"/>
        </w:rPr>
      </w:pPr>
      <w:r>
        <w:rPr>
          <w:rFonts w:hint="eastAsia" w:ascii="Times New Roman" w:hAnsi="Times New Roman"/>
          <w:bCs/>
          <w:color w:val="000000"/>
          <w:kern w:val="0"/>
          <w:sz w:val="28"/>
          <w:szCs w:val="28"/>
        </w:rPr>
        <w:t>Monetary and Banking</w:t>
      </w:r>
    </w:p>
    <w:p>
      <w:pPr>
        <w:adjustRightInd w:val="0"/>
        <w:snapToGrid w:val="0"/>
        <w:spacing w:line="360" w:lineRule="auto"/>
        <w:jc w:val="center"/>
        <w:rPr>
          <w:rFonts w:ascii="Times New Roman" w:hAnsi="Times New Roman"/>
          <w:b/>
          <w:bCs/>
          <w:color w:val="000000"/>
          <w:kern w:val="0"/>
          <w:sz w:val="28"/>
          <w:szCs w:val="28"/>
        </w:rPr>
      </w:pPr>
    </w:p>
    <w:p>
      <w:pPr>
        <w:adjustRightInd w:val="0"/>
        <w:snapToGrid w:val="0"/>
        <w:spacing w:line="360" w:lineRule="auto"/>
        <w:rPr>
          <w:rFonts w:ascii="Times New Roman" w:hAnsi="Times New Roman"/>
          <w:szCs w:val="21"/>
        </w:rPr>
      </w:pP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课程代码：151363A</w:t>
      </w:r>
      <w:r>
        <w:rPr>
          <w:rFonts w:ascii="Times New Roman" w:hAnsi="Times New Roman" w:eastAsia="黑体"/>
          <w:szCs w:val="21"/>
        </w:rPr>
        <w:tab/>
      </w:r>
      <w:r>
        <w:rPr>
          <w:rFonts w:ascii="Times New Roman" w:hAnsi="Times New Roman" w:eastAsia="黑体"/>
          <w:b/>
          <w:szCs w:val="21"/>
        </w:rPr>
        <w:t>Course Code：151363A</w:t>
      </w:r>
      <w:bookmarkStart w:id="0" w:name="_GoBack"/>
      <w:bookmarkEnd w:id="0"/>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课程名称：</w:t>
      </w:r>
      <w:r>
        <w:rPr>
          <w:rFonts w:hint="eastAsia" w:ascii="Times New Roman" w:hAnsi="Times New Roman" w:eastAsia="黑体"/>
          <w:szCs w:val="21"/>
        </w:rPr>
        <w:t>货币银行学 (英语)</w:t>
      </w:r>
      <w:r>
        <w:rPr>
          <w:rFonts w:ascii="Times New Roman" w:hAnsi="Times New Roman" w:eastAsia="黑体"/>
          <w:szCs w:val="21"/>
        </w:rPr>
        <w:tab/>
      </w:r>
      <w:r>
        <w:rPr>
          <w:rFonts w:ascii="Times New Roman" w:hAnsi="Times New Roman" w:eastAsia="黑体"/>
          <w:b/>
          <w:szCs w:val="21"/>
        </w:rPr>
        <w:t>Course Name：</w:t>
      </w:r>
      <w:r>
        <w:rPr>
          <w:rFonts w:hint="eastAsia" w:ascii="Times New Roman" w:hAnsi="Times New Roman" w:eastAsia="黑体"/>
          <w:szCs w:val="21"/>
        </w:rPr>
        <w:t>Monetary and Banking</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学时：48</w:t>
      </w:r>
      <w:r>
        <w:rPr>
          <w:rFonts w:ascii="Times New Roman" w:hAnsi="Times New Roman" w:eastAsia="黑体"/>
          <w:szCs w:val="21"/>
        </w:rPr>
        <w:tab/>
      </w:r>
      <w:r>
        <w:rPr>
          <w:rFonts w:ascii="Times New Roman" w:hAnsi="Times New Roman" w:eastAsia="黑体"/>
          <w:b/>
          <w:szCs w:val="21"/>
        </w:rPr>
        <w:t>Periods：</w:t>
      </w:r>
      <w:r>
        <w:rPr>
          <w:rFonts w:ascii="Times New Roman" w:hAnsi="Times New Roman" w:eastAsia="黑体"/>
          <w:szCs w:val="21"/>
        </w:rPr>
        <w:t>48</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学分：3</w:t>
      </w:r>
      <w:r>
        <w:rPr>
          <w:rFonts w:ascii="Times New Roman" w:hAnsi="Times New Roman" w:eastAsia="黑体"/>
          <w:szCs w:val="21"/>
        </w:rPr>
        <w:tab/>
      </w:r>
      <w:r>
        <w:rPr>
          <w:rFonts w:ascii="Times New Roman" w:hAnsi="Times New Roman" w:eastAsia="黑体"/>
          <w:b/>
          <w:szCs w:val="21"/>
        </w:rPr>
        <w:t>Credits：</w:t>
      </w:r>
      <w:r>
        <w:rPr>
          <w:rFonts w:ascii="Times New Roman" w:hAnsi="Times New Roman" w:eastAsia="黑体"/>
          <w:szCs w:val="21"/>
        </w:rPr>
        <w:t>3</w:t>
      </w:r>
    </w:p>
    <w:p>
      <w:pPr>
        <w:tabs>
          <w:tab w:val="left" w:pos="4111"/>
        </w:tabs>
        <w:adjustRightInd w:val="0"/>
        <w:snapToGrid w:val="0"/>
        <w:spacing w:line="360" w:lineRule="auto"/>
        <w:rPr>
          <w:rFonts w:hint="eastAsia" w:ascii="Times New Roman" w:hAnsi="Times New Roman" w:eastAsia="黑体"/>
          <w:szCs w:val="21"/>
          <w:lang w:val="en-US" w:eastAsia="zh-CN"/>
        </w:rPr>
      </w:pPr>
      <w:r>
        <w:rPr>
          <w:rFonts w:ascii="Times New Roman" w:hAnsi="Times New Roman" w:eastAsia="黑体"/>
          <w:szCs w:val="21"/>
        </w:rPr>
        <w:t>考核方式：考试</w:t>
      </w:r>
      <w:r>
        <w:rPr>
          <w:rFonts w:ascii="Times New Roman" w:hAnsi="Times New Roman" w:eastAsia="黑体"/>
          <w:szCs w:val="21"/>
        </w:rPr>
        <w:tab/>
      </w:r>
      <w:r>
        <w:rPr>
          <w:rFonts w:ascii="Times New Roman" w:hAnsi="Times New Roman" w:eastAsia="黑体"/>
          <w:b/>
          <w:szCs w:val="21"/>
        </w:rPr>
        <w:t>Assessment</w:t>
      </w:r>
      <w:r>
        <w:rPr>
          <w:rFonts w:hint="eastAsia" w:ascii="Times New Roman" w:hAnsi="Times New Roman" w:eastAsia="黑体"/>
          <w:b/>
          <w:bCs/>
          <w:szCs w:val="21"/>
        </w:rPr>
        <w:t>：</w:t>
      </w:r>
      <w:r>
        <w:rPr>
          <w:rFonts w:hint="eastAsia" w:ascii="Times New Roman" w:hAnsi="Times New Roman" w:eastAsia="黑体"/>
          <w:szCs w:val="21"/>
        </w:rPr>
        <w:t>Exam</w:t>
      </w:r>
      <w:r>
        <w:rPr>
          <w:rFonts w:hint="eastAsia" w:ascii="Times New Roman" w:hAnsi="Times New Roman" w:eastAsia="黑体"/>
          <w:szCs w:val="21"/>
          <w:lang w:val="en-US" w:eastAsia="zh-CN"/>
        </w:rPr>
        <w:t>ination</w:t>
      </w:r>
    </w:p>
    <w:p>
      <w:pPr>
        <w:tabs>
          <w:tab w:val="left" w:pos="4111"/>
        </w:tabs>
        <w:adjustRightInd w:val="0"/>
        <w:snapToGrid w:val="0"/>
        <w:spacing w:line="360" w:lineRule="auto"/>
        <w:ind w:left="3780" w:hanging="3780" w:hangingChars="1800"/>
        <w:rPr>
          <w:rFonts w:ascii="Times New Roman" w:hAnsi="Times New Roman" w:eastAsia="黑体"/>
          <w:szCs w:val="21"/>
        </w:rPr>
      </w:pPr>
      <w:r>
        <w:rPr>
          <w:rFonts w:ascii="Times New Roman" w:hAnsi="Times New Roman" w:eastAsia="黑体"/>
          <w:szCs w:val="21"/>
        </w:rPr>
        <w:t>先修课程：经济学原理</w:t>
      </w:r>
      <w:r>
        <w:rPr>
          <w:rFonts w:hint="eastAsia" w:ascii="Times New Roman" w:hAnsi="Times New Roman"/>
          <w:szCs w:val="21"/>
        </w:rPr>
        <w:t xml:space="preserve">                   </w:t>
      </w:r>
      <w:r>
        <w:rPr>
          <w:rFonts w:ascii="Times New Roman" w:hAnsi="Times New Roman" w:eastAsia="黑体"/>
          <w:b/>
          <w:bCs/>
          <w:szCs w:val="21"/>
        </w:rPr>
        <w:t>Preparatory Courses</w:t>
      </w:r>
      <w:r>
        <w:rPr>
          <w:rFonts w:hint="eastAsia" w:ascii="Times New Roman" w:hAnsi="Times New Roman" w:eastAsia="黑体"/>
          <w:b/>
          <w:bCs/>
          <w:szCs w:val="21"/>
        </w:rPr>
        <w:t>：</w:t>
      </w:r>
      <w:r>
        <w:rPr>
          <w:rFonts w:ascii="Times New Roman" w:hAnsi="Times New Roman" w:eastAsia="黑体"/>
          <w:bCs/>
          <w:szCs w:val="21"/>
        </w:rPr>
        <w:t>Principle</w:t>
      </w:r>
      <w:r>
        <w:rPr>
          <w:rFonts w:hint="eastAsia" w:ascii="Times New Roman" w:hAnsi="Times New Roman" w:eastAsia="黑体"/>
          <w:bCs/>
          <w:szCs w:val="21"/>
        </w:rPr>
        <w:t>s of Economics</w:t>
      </w:r>
    </w:p>
    <w:p>
      <w:pPr>
        <w:tabs>
          <w:tab w:val="left" w:pos="4111"/>
        </w:tabs>
        <w:adjustRightInd w:val="0"/>
        <w:snapToGrid w:val="0"/>
        <w:spacing w:line="360" w:lineRule="auto"/>
        <w:rPr>
          <w:rFonts w:ascii="Times New Roman" w:hAnsi="Times New Roman" w:eastAsia="黑体"/>
          <w:szCs w:val="21"/>
        </w:rPr>
      </w:pPr>
    </w:p>
    <w:p>
      <w:pPr>
        <w:tabs>
          <w:tab w:val="left" w:pos="6237"/>
        </w:tabs>
        <w:adjustRightInd w:val="0"/>
        <w:snapToGrid w:val="0"/>
        <w:spacing w:line="360" w:lineRule="auto"/>
        <w:ind w:firstLine="1094" w:firstLineChars="521"/>
        <w:jc w:val="left"/>
        <w:rPr>
          <w:rFonts w:ascii="Times New Roman" w:hAnsi="Times New Roman"/>
          <w:szCs w:val="21"/>
        </w:rPr>
      </w:pPr>
      <w:r>
        <w:rPr>
          <w:rFonts w:ascii="Times New Roman" w:hAnsi="Times New Roman"/>
          <w:szCs w:val="21"/>
        </w:rPr>
        <w:tab/>
      </w:r>
    </w:p>
    <w:p>
      <w:pPr>
        <w:spacing w:line="360" w:lineRule="auto"/>
        <w:ind w:firstLine="480" w:firstLineChars="200"/>
        <w:rPr>
          <w:sz w:val="24"/>
        </w:rPr>
      </w:pPr>
      <w:r>
        <w:rPr>
          <w:rFonts w:hint="eastAsia"/>
          <w:sz w:val="24"/>
        </w:rPr>
        <w:t>本课程试图将现代货币银行理论与中国的具体时间有机地融合起来，以货币理论为切入点，对宏观经济学中最重要的两大流派：凯恩斯主义和货币主义进行了多层次的比较和综合，使学生从多个角度对货币与经济的关系形成较为深入的认识，并能够利用经济理论分析宏观经济和货币市场中面临的各种实际问题。</w:t>
      </w:r>
    </w:p>
    <w:p>
      <w:pPr>
        <w:spacing w:line="360" w:lineRule="auto"/>
        <w:ind w:firstLine="480" w:firstLineChars="200"/>
        <w:rPr>
          <w:sz w:val="24"/>
        </w:rPr>
      </w:pPr>
      <w:r>
        <w:rPr>
          <w:sz w:val="24"/>
        </w:rPr>
        <w:t>我国在发展中国特色社会主义的进程中</w:t>
      </w:r>
      <w:r>
        <w:rPr>
          <w:rFonts w:hint="eastAsia"/>
          <w:sz w:val="24"/>
        </w:rPr>
        <w:t>面临一些</w:t>
      </w:r>
      <w:r>
        <w:rPr>
          <w:sz w:val="24"/>
        </w:rPr>
        <w:t>特有的复杂情况，本课程坚持以习近平总书记的“高校立身之本在于立德树人”，“要用好课堂教学这个渠道，</w:t>
      </w:r>
      <w:r>
        <w:rPr>
          <w:rFonts w:hint="eastAsia"/>
          <w:sz w:val="24"/>
        </w:rPr>
        <w:t>提升</w:t>
      </w:r>
      <w:r>
        <w:rPr>
          <w:sz w:val="24"/>
        </w:rPr>
        <w:t>思想政治教育亲和力，</w:t>
      </w:r>
      <w:r>
        <w:rPr>
          <w:rFonts w:hint="eastAsia"/>
          <w:sz w:val="24"/>
        </w:rPr>
        <w:t>使</w:t>
      </w:r>
      <w:r>
        <w:rPr>
          <w:sz w:val="24"/>
        </w:rPr>
        <w:t>各类课程与思想政治理论课同向同行，形成协同效应”</w:t>
      </w:r>
      <w:r>
        <w:rPr>
          <w:rFonts w:hint="eastAsia"/>
          <w:sz w:val="24"/>
        </w:rPr>
        <w:t>等</w:t>
      </w:r>
      <w:r>
        <w:rPr>
          <w:sz w:val="24"/>
        </w:rPr>
        <w:t>这</w:t>
      </w:r>
      <w:r>
        <w:rPr>
          <w:rFonts w:hint="eastAsia"/>
          <w:sz w:val="24"/>
        </w:rPr>
        <w:t>些</w:t>
      </w:r>
      <w:r>
        <w:rPr>
          <w:sz w:val="24"/>
        </w:rPr>
        <w:t>重要指示为指导思想，</w:t>
      </w:r>
      <w:r>
        <w:rPr>
          <w:rFonts w:hint="eastAsia"/>
          <w:sz w:val="24"/>
        </w:rPr>
        <w:t>通过</w:t>
      </w:r>
      <w:r>
        <w:rPr>
          <w:sz w:val="24"/>
        </w:rPr>
        <w:t>对比西方不同的货币经济学理论的优缺点，来培养学生</w:t>
      </w:r>
      <w:r>
        <w:rPr>
          <w:rFonts w:hint="eastAsia"/>
          <w:sz w:val="24"/>
        </w:rPr>
        <w:t>在</w:t>
      </w:r>
      <w:r>
        <w:rPr>
          <w:sz w:val="24"/>
        </w:rPr>
        <w:t>结合我国实际情况的基础之上去辩证思考西方经济理论与中国经济发展</w:t>
      </w:r>
      <w:r>
        <w:rPr>
          <w:rFonts w:hint="eastAsia"/>
          <w:sz w:val="24"/>
        </w:rPr>
        <w:t>相</w:t>
      </w:r>
      <w:r>
        <w:rPr>
          <w:sz w:val="24"/>
        </w:rPr>
        <w:t>结合的问题，</w:t>
      </w:r>
      <w:r>
        <w:rPr>
          <w:rFonts w:hint="eastAsia"/>
          <w:sz w:val="24"/>
        </w:rPr>
        <w:t>进而对</w:t>
      </w:r>
      <w:r>
        <w:rPr>
          <w:sz w:val="24"/>
        </w:rPr>
        <w:t>学生进行“四个自信”及“两个维护”的教育。</w:t>
      </w:r>
    </w:p>
    <w:p>
      <w:pPr>
        <w:widowControl/>
        <w:adjustRightInd w:val="0"/>
        <w:snapToGrid w:val="0"/>
        <w:spacing w:line="360" w:lineRule="auto"/>
        <w:ind w:firstLine="420" w:firstLineChars="200"/>
        <w:rPr>
          <w:rStyle w:val="9"/>
          <w:rFonts w:ascii="Times New Roman" w:hAnsi="Times New Roman"/>
          <w:color w:val="000000"/>
          <w:sz w:val="21"/>
          <w:szCs w:val="21"/>
          <w:shd w:val="clear" w:color="auto" w:fill="FFFFFF"/>
        </w:rPr>
      </w:pPr>
    </w:p>
    <w:p>
      <w:pPr>
        <w:widowControl/>
        <w:adjustRightInd w:val="0"/>
        <w:snapToGrid w:val="0"/>
        <w:spacing w:line="360" w:lineRule="auto"/>
        <w:ind w:firstLine="480" w:firstLineChars="200"/>
        <w:rPr>
          <w:rStyle w:val="9"/>
          <w:rFonts w:ascii="Times New Roman" w:hAnsi="Times New Roman"/>
          <w:color w:val="000000"/>
          <w:sz w:val="21"/>
          <w:szCs w:val="21"/>
          <w:shd w:val="clear" w:color="auto" w:fill="FFFFFF"/>
        </w:rPr>
      </w:pPr>
      <w:r>
        <w:rPr>
          <w:rFonts w:ascii="Times New Roman" w:hAnsi="Times New Roman"/>
          <w:sz w:val="24"/>
        </w:rPr>
        <w:t>This course attempts to combine modern theory on monetary and banking with real world practices in China. We begin with the theory of money, then introduce, compare, and integrate the two central theorems in macroeconomics: Keynesianism and Monetarism. The aim of the course is to help students to build a thorough understanding of money, economics, and the banking system, and to analyze economic issues in real world using economic theory.</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黑体">
    <w:panose1 w:val="02010609060101010101"/>
    <w:charset w:val="88"/>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19AE"/>
    <w:rsid w:val="0000260D"/>
    <w:rsid w:val="000118DD"/>
    <w:rsid w:val="00045A65"/>
    <w:rsid w:val="0004645E"/>
    <w:rsid w:val="000654B4"/>
    <w:rsid w:val="000749A2"/>
    <w:rsid w:val="00091815"/>
    <w:rsid w:val="000979C6"/>
    <w:rsid w:val="000A422B"/>
    <w:rsid w:val="000B652C"/>
    <w:rsid w:val="000C00B2"/>
    <w:rsid w:val="000C0941"/>
    <w:rsid w:val="000C5F6A"/>
    <w:rsid w:val="00132C9D"/>
    <w:rsid w:val="00136BCC"/>
    <w:rsid w:val="0015502A"/>
    <w:rsid w:val="00155B68"/>
    <w:rsid w:val="001E27F3"/>
    <w:rsid w:val="002265A5"/>
    <w:rsid w:val="002412C4"/>
    <w:rsid w:val="0026730C"/>
    <w:rsid w:val="00272FAD"/>
    <w:rsid w:val="00280423"/>
    <w:rsid w:val="0028264D"/>
    <w:rsid w:val="002B7AAE"/>
    <w:rsid w:val="002C1D29"/>
    <w:rsid w:val="002D2539"/>
    <w:rsid w:val="003023DA"/>
    <w:rsid w:val="00322D3E"/>
    <w:rsid w:val="00327061"/>
    <w:rsid w:val="003344A6"/>
    <w:rsid w:val="00341CC5"/>
    <w:rsid w:val="003711BB"/>
    <w:rsid w:val="00387BA5"/>
    <w:rsid w:val="003B1747"/>
    <w:rsid w:val="003B2923"/>
    <w:rsid w:val="003D0DDF"/>
    <w:rsid w:val="003D638A"/>
    <w:rsid w:val="003E51C5"/>
    <w:rsid w:val="003F097A"/>
    <w:rsid w:val="003F0AC1"/>
    <w:rsid w:val="00402F9B"/>
    <w:rsid w:val="004131CF"/>
    <w:rsid w:val="0045653B"/>
    <w:rsid w:val="00483A18"/>
    <w:rsid w:val="004911E2"/>
    <w:rsid w:val="004E3DBD"/>
    <w:rsid w:val="004E6A67"/>
    <w:rsid w:val="004F0FF9"/>
    <w:rsid w:val="00504421"/>
    <w:rsid w:val="00514D1F"/>
    <w:rsid w:val="00541899"/>
    <w:rsid w:val="00576DAB"/>
    <w:rsid w:val="00577331"/>
    <w:rsid w:val="005C7188"/>
    <w:rsid w:val="005E5267"/>
    <w:rsid w:val="006776E5"/>
    <w:rsid w:val="006B7114"/>
    <w:rsid w:val="006E4FD0"/>
    <w:rsid w:val="006F7898"/>
    <w:rsid w:val="00720E15"/>
    <w:rsid w:val="00726AA5"/>
    <w:rsid w:val="0073182B"/>
    <w:rsid w:val="007501EA"/>
    <w:rsid w:val="00776D56"/>
    <w:rsid w:val="00793503"/>
    <w:rsid w:val="007B6812"/>
    <w:rsid w:val="007F18CD"/>
    <w:rsid w:val="00800DE3"/>
    <w:rsid w:val="008319AE"/>
    <w:rsid w:val="00855158"/>
    <w:rsid w:val="008702BA"/>
    <w:rsid w:val="00871E3C"/>
    <w:rsid w:val="00872C72"/>
    <w:rsid w:val="00887909"/>
    <w:rsid w:val="008A1EC0"/>
    <w:rsid w:val="008F2DDF"/>
    <w:rsid w:val="00900B33"/>
    <w:rsid w:val="0091299F"/>
    <w:rsid w:val="00923966"/>
    <w:rsid w:val="0092418C"/>
    <w:rsid w:val="00942297"/>
    <w:rsid w:val="00974CC1"/>
    <w:rsid w:val="0098395F"/>
    <w:rsid w:val="009917AA"/>
    <w:rsid w:val="00997AF6"/>
    <w:rsid w:val="009C5F7E"/>
    <w:rsid w:val="009D043F"/>
    <w:rsid w:val="009D2706"/>
    <w:rsid w:val="00A4564B"/>
    <w:rsid w:val="00A55996"/>
    <w:rsid w:val="00A56452"/>
    <w:rsid w:val="00A618D5"/>
    <w:rsid w:val="00AE4D39"/>
    <w:rsid w:val="00AF6E18"/>
    <w:rsid w:val="00B30396"/>
    <w:rsid w:val="00B7487D"/>
    <w:rsid w:val="00B84226"/>
    <w:rsid w:val="00B9600B"/>
    <w:rsid w:val="00B96596"/>
    <w:rsid w:val="00BB3C67"/>
    <w:rsid w:val="00BC625E"/>
    <w:rsid w:val="00BD6AF6"/>
    <w:rsid w:val="00BF75C8"/>
    <w:rsid w:val="00C50750"/>
    <w:rsid w:val="00C71A41"/>
    <w:rsid w:val="00C7706A"/>
    <w:rsid w:val="00C840EE"/>
    <w:rsid w:val="00C96F11"/>
    <w:rsid w:val="00CA44FF"/>
    <w:rsid w:val="00CB013D"/>
    <w:rsid w:val="00D14E2D"/>
    <w:rsid w:val="00D214C5"/>
    <w:rsid w:val="00D413A3"/>
    <w:rsid w:val="00D95B47"/>
    <w:rsid w:val="00DA38E5"/>
    <w:rsid w:val="00DB262D"/>
    <w:rsid w:val="00DC2D14"/>
    <w:rsid w:val="00DC51EC"/>
    <w:rsid w:val="00DD2230"/>
    <w:rsid w:val="00DE7E1A"/>
    <w:rsid w:val="00E17EC3"/>
    <w:rsid w:val="00E21F8E"/>
    <w:rsid w:val="00E22DEC"/>
    <w:rsid w:val="00E42DED"/>
    <w:rsid w:val="00E663F3"/>
    <w:rsid w:val="00EC62AA"/>
    <w:rsid w:val="00ED57B3"/>
    <w:rsid w:val="00F148E7"/>
    <w:rsid w:val="00F31E4C"/>
    <w:rsid w:val="00F34E4F"/>
    <w:rsid w:val="00F43950"/>
    <w:rsid w:val="00F909D8"/>
    <w:rsid w:val="00FC4250"/>
    <w:rsid w:val="00FD7B2B"/>
    <w:rsid w:val="28A471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8"/>
    <w:unhideWhenUsed/>
    <w:qFormat/>
    <w:uiPriority w:val="9"/>
    <w:pPr>
      <w:keepNext/>
      <w:keepLines/>
      <w:spacing w:before="260" w:after="260" w:line="416" w:lineRule="auto"/>
      <w:outlineLvl w:val="1"/>
    </w:pPr>
    <w:rPr>
      <w:rFonts w:ascii="Cambria" w:hAnsi="Cambria"/>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字符"/>
    <w:basedOn w:val="7"/>
    <w:link w:val="2"/>
    <w:qFormat/>
    <w:uiPriority w:val="9"/>
    <w:rPr>
      <w:rFonts w:ascii="Cambria" w:hAnsi="Cambria" w:eastAsia="宋体" w:cs="Times New Roman"/>
      <w:b/>
      <w:bCs/>
      <w:sz w:val="32"/>
      <w:szCs w:val="32"/>
    </w:rPr>
  </w:style>
  <w:style w:type="character" w:customStyle="1" w:styleId="9">
    <w:name w:val="long_text1"/>
    <w:basedOn w:val="7"/>
    <w:qFormat/>
    <w:uiPriority w:val="0"/>
    <w:rPr>
      <w:sz w:val="20"/>
      <w:szCs w:val="20"/>
    </w:rPr>
  </w:style>
  <w:style w:type="character" w:customStyle="1" w:styleId="10">
    <w:name w:val="批注框文本字符"/>
    <w:basedOn w:val="7"/>
    <w:link w:val="3"/>
    <w:semiHidden/>
    <w:qFormat/>
    <w:uiPriority w:val="99"/>
    <w:rPr>
      <w:rFonts w:ascii="Calibri" w:hAnsi="Calibri" w:eastAsia="宋体" w:cs="Times New Roman"/>
      <w:sz w:val="18"/>
      <w:szCs w:val="18"/>
    </w:rPr>
  </w:style>
  <w:style w:type="character" w:customStyle="1" w:styleId="11">
    <w:name w:val="页眉字符"/>
    <w:basedOn w:val="7"/>
    <w:link w:val="5"/>
    <w:uiPriority w:val="99"/>
    <w:rPr>
      <w:rFonts w:ascii="Calibri" w:hAnsi="Calibri" w:eastAsia="宋体" w:cs="Times New Roman"/>
      <w:sz w:val="18"/>
      <w:szCs w:val="18"/>
    </w:rPr>
  </w:style>
  <w:style w:type="character" w:customStyle="1" w:styleId="12">
    <w:name w:val="页脚字符"/>
    <w:basedOn w:val="7"/>
    <w:link w:val="4"/>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155</Words>
  <Characters>890</Characters>
  <Lines>7</Lines>
  <Paragraphs>2</Paragraphs>
  <TotalTime>38</TotalTime>
  <ScaleCrop>false</ScaleCrop>
  <LinksUpToDate>false</LinksUpToDate>
  <CharactersWithSpaces>1043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2018-04-27T03:42:00Z</dcterms:created>
  <dc:creator>DELL</dc:creator>
  <cp:lastModifiedBy>Administrator</cp:lastModifiedBy>
  <cp:lastPrinted>2013-11-19T08:57:00Z</cp:lastPrinted>
  <dcterms:modified xsi:type="dcterms:W3CDTF">2021-07-05T06:04:27Z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78FE699CE78348AAB79777180517C2E5</vt:lpwstr>
  </property>
</Properties>
</file>