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Ansi="宋体"/>
          <w:b/>
          <w:bCs/>
          <w:sz w:val="36"/>
          <w:szCs w:val="36"/>
        </w:rPr>
        <w:t>社会工作专业</w:t>
      </w:r>
      <w:r>
        <w:rPr>
          <w:rFonts w:hint="eastAsia" w:hAnsi="宋体"/>
          <w:b/>
          <w:bCs/>
          <w:sz w:val="36"/>
          <w:szCs w:val="36"/>
        </w:rPr>
        <w:t>本科</w:t>
      </w:r>
      <w:r>
        <w:rPr>
          <w:rFonts w:hAnsi="宋体"/>
          <w:b/>
          <w:bCs/>
          <w:sz w:val="36"/>
          <w:szCs w:val="36"/>
        </w:rPr>
        <w:t>人才培养方案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（专业代码</w:t>
      </w:r>
      <w:r>
        <w:rPr>
          <w:rFonts w:hint="eastAsia"/>
          <w:b/>
          <w:sz w:val="28"/>
          <w:szCs w:val="28"/>
        </w:rPr>
        <w:t>：</w:t>
      </w:r>
      <w:r>
        <w:rPr>
          <w:b/>
          <w:sz w:val="28"/>
          <w:szCs w:val="28"/>
        </w:rPr>
        <w:t>030302</w:t>
      </w:r>
      <w:r>
        <w:rPr>
          <w:rFonts w:hAnsi="宋体"/>
          <w:b/>
          <w:sz w:val="28"/>
          <w:szCs w:val="28"/>
        </w:rPr>
        <w:t>）</w:t>
      </w:r>
    </w:p>
    <w:p>
      <w:pPr>
        <w:shd w:val="clear" w:color="auto" w:fill="FFFFFF"/>
        <w:spacing w:line="360" w:lineRule="auto"/>
        <w:ind w:firstLine="472" w:firstLineChars="196"/>
        <w:rPr>
          <w:b/>
          <w:bCs/>
          <w:sz w:val="24"/>
        </w:rPr>
      </w:pPr>
      <w:r>
        <w:rPr>
          <w:b/>
          <w:bCs/>
          <w:sz w:val="24"/>
        </w:rPr>
        <w:t>一、培养目标</w:t>
      </w:r>
    </w:p>
    <w:p>
      <w:pPr>
        <w:snapToGrid w:val="0"/>
        <w:spacing w:line="360" w:lineRule="auto"/>
        <w:ind w:firstLine="480" w:firstLineChars="200"/>
        <w:outlineLvl w:val="2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本专业培养具有社会主义核心价值观，适应社会主义和谐社会建设与人的全面发展需要，具备社会学、心理学、经济学、政治学、管理学、法学基础，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专业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社会工作的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价值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方法与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技能，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了解社会工作理论与实践前沿，具有国际视野和创新意识，能够在企事业单位、社会组织和政府部门从事社会管理、社会服务、社会政策、社会调查等工作，</w:t>
      </w:r>
      <w:r>
        <w:rPr>
          <w:rFonts w:hint="eastAsia" w:hAnsi="宋体"/>
          <w:sz w:val="24"/>
        </w:rPr>
        <w:t>思想品德优良、专业信念执着、知识结构丰富、实践能力过硬的复合型、应用型高素质社会工作人才。</w:t>
      </w:r>
    </w:p>
    <w:p>
      <w:pPr>
        <w:shd w:val="clear" w:color="auto" w:fill="FFFFFF"/>
        <w:spacing w:line="360" w:lineRule="auto"/>
        <w:ind w:firstLine="472" w:firstLineChars="196"/>
        <w:rPr>
          <w:b/>
          <w:bCs/>
          <w:sz w:val="24"/>
        </w:rPr>
      </w:pPr>
      <w:r>
        <w:rPr>
          <w:b/>
          <w:bCs/>
          <w:sz w:val="24"/>
        </w:rPr>
        <w:t>二、</w:t>
      </w:r>
      <w:r>
        <w:rPr>
          <w:rFonts w:hint="eastAsia"/>
          <w:b/>
          <w:bCs/>
          <w:sz w:val="24"/>
        </w:rPr>
        <w:t>毕业</w:t>
      </w:r>
      <w:r>
        <w:rPr>
          <w:b/>
          <w:bCs/>
          <w:sz w:val="24"/>
        </w:rPr>
        <w:t>要求</w:t>
      </w:r>
    </w:p>
    <w:p>
      <w:pPr>
        <w:shd w:val="clear" w:color="auto" w:fill="FFFFFF"/>
        <w:spacing w:line="360" w:lineRule="auto"/>
        <w:ind w:firstLine="420"/>
        <w:rPr>
          <w:sz w:val="24"/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1．</w:t>
      </w:r>
      <w:r>
        <w:rPr>
          <w:sz w:val="24"/>
        </w:rPr>
        <w:t>具有强烈的社会责任感和法律意识；具有良好的思想品德、社会公德、职业道德和个人修养、健康的心理和体魄；了解社会工作学科动态，具有</w:t>
      </w:r>
      <w:r>
        <w:rPr>
          <w:rFonts w:hint="eastAsia"/>
          <w:sz w:val="24"/>
        </w:rPr>
        <w:t>真挚理性的爱国心和开放</w:t>
      </w:r>
      <w:r>
        <w:rPr>
          <w:sz w:val="24"/>
        </w:rPr>
        <w:t>宽广的国际视野。</w:t>
      </w:r>
    </w:p>
    <w:p>
      <w:pPr>
        <w:shd w:val="clear" w:color="auto" w:fill="FFFFFF"/>
        <w:spacing w:line="360" w:lineRule="auto"/>
        <w:ind w:firstLine="420"/>
        <w:rPr>
          <w:sz w:val="24"/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2．</w:t>
      </w:r>
      <w:r>
        <w:rPr>
          <w:sz w:val="24"/>
        </w:rPr>
        <w:t>系统掌握心理学、社会学</w:t>
      </w:r>
      <w:r>
        <w:rPr>
          <w:rFonts w:hint="eastAsia"/>
          <w:sz w:val="24"/>
        </w:rPr>
        <w:t>、法学</w:t>
      </w:r>
      <w:r>
        <w:rPr>
          <w:sz w:val="24"/>
        </w:rPr>
        <w:t>和</w:t>
      </w:r>
      <w:r>
        <w:rPr>
          <w:rFonts w:hint="eastAsia"/>
          <w:sz w:val="24"/>
        </w:rPr>
        <w:t>经济管理</w:t>
      </w:r>
      <w:r>
        <w:rPr>
          <w:sz w:val="24"/>
        </w:rPr>
        <w:t>的基础知识和专业理论，熟悉社会工作的基本理论，具备社会工作的价值理念，学习和掌握开展社会工作的技能与方法，具有扎实的人文社会科学知识基础，较宽的知识面和知识结构。</w:t>
      </w:r>
    </w:p>
    <w:p>
      <w:pPr>
        <w:shd w:val="clear" w:color="auto" w:fill="FFFFFF"/>
        <w:spacing w:line="360" w:lineRule="auto"/>
        <w:ind w:firstLine="420"/>
        <w:rPr>
          <w:sz w:val="24"/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3．</w:t>
      </w:r>
      <w:r>
        <w:rPr>
          <w:sz w:val="24"/>
        </w:rPr>
        <w:t>具有开展社会调查研究的能力，具有社会工作理论分析、实务操作的能力，具有开展个人与家庭辅导、团体辅导、</w:t>
      </w:r>
      <w:r>
        <w:rPr>
          <w:rFonts w:hint="eastAsia"/>
          <w:sz w:val="24"/>
        </w:rPr>
        <w:t>社会</w:t>
      </w:r>
      <w:r>
        <w:rPr>
          <w:sz w:val="24"/>
        </w:rPr>
        <w:t>项目管理、社会政策与管理的基本能力，具备</w:t>
      </w:r>
      <w:r>
        <w:rPr>
          <w:rFonts w:hint="eastAsia"/>
          <w:sz w:val="24"/>
        </w:rPr>
        <w:t>良</w:t>
      </w:r>
      <w:r>
        <w:rPr>
          <w:sz w:val="24"/>
        </w:rPr>
        <w:t>好的语言表达和沟通协调能力；熟悉社会政策及法律法规，掌握一门外语，能够熟练运用计算机从事业务工作。</w:t>
      </w:r>
    </w:p>
    <w:p>
      <w:pPr>
        <w:shd w:val="clear" w:color="auto" w:fill="FFFFFF"/>
        <w:spacing w:line="360" w:lineRule="auto"/>
        <w:ind w:firstLine="472" w:firstLineChars="196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核心</w:t>
      </w:r>
      <w:r>
        <w:rPr>
          <w:b/>
          <w:bCs/>
          <w:sz w:val="24"/>
        </w:rPr>
        <w:t>课程</w:t>
      </w:r>
    </w:p>
    <w:p>
      <w:pPr>
        <w:shd w:val="clear" w:color="auto" w:fill="FFFFFF"/>
        <w:spacing w:line="360" w:lineRule="auto"/>
        <w:ind w:firstLine="480" w:firstLineChars="200"/>
        <w:rPr>
          <w:kern w:val="0"/>
          <w:sz w:val="24"/>
        </w:rPr>
      </w:pPr>
      <w:r>
        <w:rPr>
          <w:rFonts w:hint="eastAsia" w:hAnsi="宋体"/>
          <w:kern w:val="0"/>
          <w:sz w:val="24"/>
        </w:rPr>
        <w:t>自我认知与成长、</w:t>
      </w:r>
      <w:r>
        <w:rPr>
          <w:rFonts w:hAnsi="宋体"/>
          <w:kern w:val="0"/>
          <w:sz w:val="24"/>
        </w:rPr>
        <w:t>社会工作导论、个案社会工作、群体社会工作、社区社会工作</w:t>
      </w:r>
      <w:r>
        <w:rPr>
          <w:rFonts w:hint="eastAsia" w:hAnsi="宋体"/>
          <w:kern w:val="0"/>
          <w:sz w:val="24"/>
        </w:rPr>
        <w:t>、青少年与家庭社会工作、老年社会工作、企业社会工作</w:t>
      </w:r>
      <w:r>
        <w:rPr>
          <w:rFonts w:hAnsi="宋体"/>
          <w:kern w:val="0"/>
          <w:sz w:val="24"/>
        </w:rPr>
        <w:t>；人类行为与社会环境、社会学、</w:t>
      </w:r>
      <w:r>
        <w:rPr>
          <w:rFonts w:hint="eastAsia" w:hAnsi="宋体"/>
          <w:kern w:val="0"/>
          <w:sz w:val="24"/>
        </w:rPr>
        <w:t>社会分层与流动、</w:t>
      </w:r>
      <w:r>
        <w:rPr>
          <w:rFonts w:hAnsi="宋体"/>
          <w:kern w:val="0"/>
          <w:sz w:val="24"/>
        </w:rPr>
        <w:t>社会福利政策、社会科学研究方法、</w:t>
      </w:r>
      <w:r>
        <w:rPr>
          <w:rFonts w:hint="eastAsia" w:hAnsi="宋体"/>
          <w:kern w:val="0"/>
          <w:sz w:val="24"/>
        </w:rPr>
        <w:t>社会企业与社会创新</w:t>
      </w:r>
      <w:r>
        <w:rPr>
          <w:rFonts w:hAnsi="宋体"/>
          <w:kern w:val="0"/>
          <w:sz w:val="24"/>
        </w:rPr>
        <w:t>等。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培养特色</w:t>
      </w:r>
    </w:p>
    <w:p>
      <w:pPr>
        <w:spacing w:line="360" w:lineRule="auto"/>
        <w:rPr>
          <w:sz w:val="24"/>
        </w:rPr>
      </w:pPr>
      <w:r>
        <w:rPr>
          <w:rFonts w:hint="eastAsia"/>
          <w:color w:val="FF0000"/>
          <w:sz w:val="24"/>
        </w:rPr>
        <w:t>　　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/>
          <w:bCs/>
          <w:sz w:val="24"/>
        </w:rPr>
        <w:t>符合国际通用社工培养标准。</w:t>
      </w:r>
      <w:r>
        <w:rPr>
          <w:rFonts w:hint="eastAsia"/>
          <w:sz w:val="24"/>
        </w:rPr>
        <w:t>本专业是国际社会工作院校联盟的成员，注重培养符合国际通用标准的专业社会工作人才，学生具备无障碍地申读国外社会工作硕士博士的课程基础；另一方面结合学校和学院的特色，强调劳动科学领域的社会工作。学生能在北京和中国其他地区从事心理辅导、人际沟通、志愿者管理、项目管理等工作。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/>
          <w:b/>
          <w:bCs/>
          <w:sz w:val="24"/>
        </w:rPr>
        <w:t>注重全人教育和培养。</w:t>
      </w:r>
      <w:r>
        <w:rPr>
          <w:rFonts w:hint="eastAsia"/>
          <w:sz w:val="24"/>
        </w:rPr>
        <w:t>社会工作是一个价值为本的专业，它相信每个人都有独特的价值，每个人都有改变的潜力。因此，在专业教育过程中，将通过专业发展实验和专业实践实习等系列课程，发掘学生的独特个性，培养学生的意志品格，激发学生的自身潜能。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3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/>
          <w:bCs/>
          <w:sz w:val="24"/>
        </w:rPr>
        <w:t>强调实践性与反思性。</w:t>
      </w:r>
      <w:r>
        <w:rPr>
          <w:rFonts w:hint="eastAsia"/>
          <w:sz w:val="24"/>
        </w:rPr>
        <w:t>社会工作的实务性和操作性决定了三种类型的实习实践活动：一是专业实习教育，要求完成至少800小时有督导的专业实习；二是鼓励学生积极参与各种志愿服务活动，开展服务学习；三是组织赴社会工作发达地区的交流实践活动。反思性方面，通过课堂训练以及毕业论文撰写等，提高学生的调查研究能力、独立思考能力与批判性思维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五</w:t>
      </w:r>
      <w:r>
        <w:rPr>
          <w:b/>
          <w:sz w:val="24"/>
        </w:rPr>
        <w:t>、学制</w:t>
      </w:r>
      <w:r>
        <w:rPr>
          <w:rFonts w:hint="eastAsia"/>
          <w:b/>
          <w:sz w:val="24"/>
        </w:rPr>
        <w:t>和</w:t>
      </w:r>
      <w:r>
        <w:rPr>
          <w:b/>
          <w:sz w:val="24"/>
        </w:rPr>
        <w:t>学位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int="eastAsia" w:hAnsi="宋体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int="eastAsia" w:hAnsi="宋体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int="eastAsia" w:hAnsi="宋体"/>
          <w:sz w:val="24"/>
        </w:rPr>
        <w:t>法</w:t>
      </w:r>
      <w:r>
        <w:rPr>
          <w:rFonts w:hAnsi="宋体"/>
          <w:sz w:val="24"/>
        </w:rPr>
        <w:t>学学士学位。</w:t>
      </w:r>
    </w:p>
    <w:p>
      <w:pPr>
        <w:spacing w:line="360" w:lineRule="auto"/>
        <w:ind w:firstLine="472" w:firstLineChars="196"/>
        <w:rPr>
          <w:b/>
          <w:sz w:val="24"/>
        </w:rPr>
      </w:pPr>
      <w:r>
        <w:rPr>
          <w:rFonts w:hint="eastAsia" w:hAnsi="宋体"/>
          <w:b/>
          <w:sz w:val="24"/>
        </w:rPr>
        <w:t>六</w:t>
      </w:r>
      <w:r>
        <w:rPr>
          <w:rFonts w:hAnsi="宋体"/>
          <w:b/>
          <w:sz w:val="24"/>
        </w:rPr>
        <w:t>、学分一览表</w:t>
      </w:r>
    </w:p>
    <w:p>
      <w:pPr>
        <w:spacing w:line="360" w:lineRule="auto"/>
        <w:jc w:val="center"/>
        <w:rPr>
          <w:b/>
          <w:sz w:val="24"/>
        </w:rPr>
      </w:pPr>
      <w:r>
        <w:rPr>
          <w:rFonts w:hAnsi="宋体"/>
          <w:b/>
          <w:sz w:val="24"/>
        </w:rPr>
        <w:t>总学分一览表</w:t>
      </w:r>
    </w:p>
    <w:tbl>
      <w:tblPr>
        <w:tblStyle w:val="9"/>
        <w:tblW w:w="87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538"/>
        <w:gridCol w:w="769"/>
        <w:gridCol w:w="1641"/>
        <w:gridCol w:w="692"/>
        <w:gridCol w:w="1337"/>
        <w:gridCol w:w="1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3" w:type="dxa"/>
            <w:tcBorders>
              <w:top w:val="single" w:color="000000" w:sz="12" w:space="0"/>
              <w:left w:val="single" w:color="auto" w:sz="4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40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b/>
                <w:kern w:val="0"/>
                <w:sz w:val="22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3" w:type="dxa"/>
            <w:vMerge w:val="restart"/>
            <w:tcBorders>
              <w:top w:val="single" w:color="000000" w:sz="6" w:space="0"/>
              <w:left w:val="single" w:color="auto" w:sz="4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15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53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课堂教学环节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1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63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7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3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33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63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3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6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641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3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63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Ansi="宋体"/>
          <w:b/>
          <w:sz w:val="24"/>
        </w:rPr>
      </w:pPr>
    </w:p>
    <w:p>
      <w:pPr>
        <w:spacing w:line="360" w:lineRule="auto"/>
        <w:jc w:val="center"/>
        <w:rPr>
          <w:rFonts w:hAnsi="宋体"/>
          <w:b/>
          <w:sz w:val="24"/>
        </w:rPr>
      </w:pPr>
    </w:p>
    <w:p>
      <w:pPr>
        <w:spacing w:line="360" w:lineRule="auto"/>
        <w:jc w:val="center"/>
        <w:rPr>
          <w:rFonts w:hAnsi="宋体"/>
          <w:b/>
          <w:sz w:val="24"/>
        </w:rPr>
      </w:pPr>
    </w:p>
    <w:p>
      <w:pPr>
        <w:spacing w:line="360" w:lineRule="auto"/>
        <w:jc w:val="center"/>
        <w:rPr>
          <w:rFonts w:hAnsi="宋体"/>
          <w:b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Ansi="宋体"/>
          <w:b/>
          <w:bCs/>
          <w:sz w:val="24"/>
        </w:rPr>
        <w:t>课堂教学学时分配表</w:t>
      </w:r>
    </w:p>
    <w:tbl>
      <w:tblPr>
        <w:tblStyle w:val="9"/>
        <w:tblW w:w="863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922"/>
        <w:gridCol w:w="1549"/>
        <w:gridCol w:w="1883"/>
        <w:gridCol w:w="940"/>
        <w:gridCol w:w="941"/>
        <w:gridCol w:w="1474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课程类别</w:t>
            </w:r>
          </w:p>
        </w:tc>
        <w:tc>
          <w:tcPr>
            <w:tcW w:w="154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门数</w:t>
            </w:r>
          </w:p>
        </w:tc>
        <w:tc>
          <w:tcPr>
            <w:tcW w:w="188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总学时</w:t>
            </w:r>
          </w:p>
        </w:tc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总学分</w:t>
            </w:r>
          </w:p>
        </w:tc>
        <w:tc>
          <w:tcPr>
            <w:tcW w:w="147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比例</w:t>
            </w:r>
            <w:r>
              <w:rPr>
                <w:rFonts w:hint="eastAsia" w:hAnsi="宋体"/>
                <w:b/>
                <w:bCs/>
              </w:rPr>
              <w:t>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</w:tcPr>
          <w:p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int="eastAsia" w:hAnsi="宋体"/>
              </w:rPr>
              <w:t>通识教育必修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883" w:type="dxa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9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881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5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7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</w:tcPr>
          <w:p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学科基础课</w:t>
            </w:r>
          </w:p>
        </w:tc>
        <w:tc>
          <w:tcPr>
            <w:tcW w:w="1549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883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416</w:t>
            </w:r>
          </w:p>
        </w:tc>
        <w:tc>
          <w:tcPr>
            <w:tcW w:w="1881" w:type="dxa"/>
            <w:gridSpan w:val="2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20.31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</w:tcPr>
          <w:p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专业</w:t>
            </w:r>
            <w:r>
              <w:rPr>
                <w:rFonts w:hint="eastAsia" w:hAnsi="宋体"/>
              </w:rPr>
              <w:t>核心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883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320</w:t>
            </w:r>
          </w:p>
        </w:tc>
        <w:tc>
          <w:tcPr>
            <w:tcW w:w="1881" w:type="dxa"/>
            <w:gridSpan w:val="2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</w:tcPr>
          <w:p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int="eastAsia" w:hAnsi="宋体"/>
              </w:rPr>
              <w:t>通识教育选修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3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1" w:type="dxa"/>
            <w:gridSpan w:val="2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47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  <w:jc w:val="center"/>
        </w:trPr>
        <w:tc>
          <w:tcPr>
            <w:tcW w:w="921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22" w:type="dxa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549" w:type="dxa"/>
            <w:vMerge w:val="restart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40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941" w:type="dxa"/>
            <w:vMerge w:val="restart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474" w:type="dxa"/>
            <w:vMerge w:val="restart"/>
          </w:tcPr>
          <w:p>
            <w:pPr>
              <w:widowControl/>
              <w:jc w:val="center"/>
              <w:rPr>
                <w:rFonts w:hint="default" w:ascii="等线" w:hAnsi="等线" w:eastAsia="等线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41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  <w:jc w:val="center"/>
        </w:trPr>
        <w:tc>
          <w:tcPr>
            <w:tcW w:w="921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</w:p>
        </w:tc>
        <w:tc>
          <w:tcPr>
            <w:tcW w:w="922" w:type="dxa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549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40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941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4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</w:rPr>
            </w:pPr>
            <w:r>
              <w:rPr>
                <w:rFonts w:hAnsi="宋体"/>
                <w:b/>
              </w:rPr>
              <w:t>合</w:t>
            </w:r>
            <w:r>
              <w:rPr>
                <w:b/>
              </w:rPr>
              <w:t xml:space="preserve">  </w:t>
            </w:r>
            <w:r>
              <w:rPr>
                <w:rFonts w:hAnsi="宋体"/>
                <w:b/>
              </w:rPr>
              <w:t>计</w:t>
            </w:r>
          </w:p>
        </w:tc>
        <w:tc>
          <w:tcPr>
            <w:tcW w:w="1549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3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1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b/>
                <w:kern w:val="0"/>
                <w:szCs w:val="21"/>
              </w:rPr>
              <w:t>1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1474" w:type="dxa"/>
          </w:tcPr>
          <w:p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100</w:t>
            </w:r>
          </w:p>
        </w:tc>
      </w:tr>
    </w:tbl>
    <w:p>
      <w:pPr>
        <w:spacing w:line="360" w:lineRule="auto"/>
        <w:ind w:firstLine="540" w:firstLineChars="224"/>
        <w:rPr>
          <w:b/>
          <w:sz w:val="24"/>
        </w:rPr>
      </w:pPr>
    </w:p>
    <w:p>
      <w:pPr>
        <w:spacing w:line="360" w:lineRule="auto"/>
        <w:ind w:firstLine="540" w:firstLineChars="224"/>
        <w:rPr>
          <w:b/>
          <w:sz w:val="24"/>
        </w:rPr>
      </w:pPr>
    </w:p>
    <w:p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实践教学</w:t>
      </w:r>
      <w:r>
        <w:rPr>
          <w:rFonts w:hint="eastAsia"/>
          <w:b/>
          <w:sz w:val="24"/>
        </w:rPr>
        <w:t>环节</w:t>
      </w:r>
      <w:r>
        <w:rPr>
          <w:b/>
          <w:sz w:val="24"/>
        </w:rPr>
        <w:t>一览表</w:t>
      </w:r>
    </w:p>
    <w:tbl>
      <w:tblPr>
        <w:tblStyle w:val="9"/>
        <w:tblW w:w="863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043"/>
        <w:gridCol w:w="1132"/>
        <w:gridCol w:w="1137"/>
        <w:gridCol w:w="975"/>
        <w:gridCol w:w="106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类别</w:t>
            </w:r>
          </w:p>
        </w:tc>
        <w:tc>
          <w:tcPr>
            <w:tcW w:w="3043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实践环节</w:t>
            </w:r>
          </w:p>
        </w:tc>
        <w:tc>
          <w:tcPr>
            <w:tcW w:w="113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学期安排</w:t>
            </w:r>
          </w:p>
        </w:tc>
        <w:tc>
          <w:tcPr>
            <w:tcW w:w="113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周数</w:t>
            </w:r>
          </w:p>
        </w:tc>
        <w:tc>
          <w:tcPr>
            <w:tcW w:w="975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学时</w:t>
            </w:r>
          </w:p>
        </w:tc>
        <w:tc>
          <w:tcPr>
            <w:tcW w:w="106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实习类</w:t>
            </w:r>
          </w:p>
        </w:tc>
        <w:tc>
          <w:tcPr>
            <w:tcW w:w="3043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军事技能</w:t>
            </w:r>
          </w:p>
        </w:tc>
        <w:tc>
          <w:tcPr>
            <w:tcW w:w="1132" w:type="dxa"/>
            <w:tcBorders>
              <w:top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tcBorders>
              <w:top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认知+专业实习</w:t>
            </w:r>
          </w:p>
        </w:tc>
        <w:tc>
          <w:tcPr>
            <w:tcW w:w="1132" w:type="dxa"/>
          </w:tcPr>
          <w:p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毕业实习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8 </w:t>
            </w: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素</w:t>
            </w:r>
            <w:r>
              <w:rPr>
                <w:rFonts w:hint="eastAsia" w:hAnsi="宋体"/>
                <w:szCs w:val="21"/>
              </w:rPr>
              <w:t>养提升</w:t>
            </w:r>
            <w:r>
              <w:rPr>
                <w:rFonts w:hAnsi="宋体"/>
                <w:szCs w:val="21"/>
              </w:rPr>
              <w:t>类</w:t>
            </w: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</w:t>
            </w:r>
            <w:r>
              <w:rPr>
                <w:rFonts w:hint="eastAsia" w:hAnsi="宋体"/>
                <w:szCs w:val="21"/>
              </w:rPr>
              <w:t>创业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第二课堂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思</w:t>
            </w:r>
            <w:r>
              <w:rPr>
                <w:rFonts w:hint="eastAsia" w:hAnsi="宋体"/>
                <w:szCs w:val="21"/>
              </w:rPr>
              <w:t>政育人</w:t>
            </w:r>
            <w:r>
              <w:rPr>
                <w:rFonts w:hAnsi="宋体"/>
                <w:szCs w:val="21"/>
              </w:rPr>
              <w:t>类</w:t>
            </w: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>
              <w:rPr>
                <w:rFonts w:hAnsi="宋体"/>
                <w:szCs w:val="21"/>
              </w:rPr>
              <w:t>毛泽东思想与中国特色社会主义理论体系概论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3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37" w:type="dxa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32" w:type="dxa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中国近现代史纲要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劳动育人</w:t>
            </w:r>
            <w:r>
              <w:rPr>
                <w:szCs w:val="21"/>
              </w:rPr>
              <w:t>类</w:t>
            </w: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劳动类实践课程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restart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专业实验类</w:t>
            </w:r>
          </w:p>
        </w:tc>
        <w:tc>
          <w:tcPr>
            <w:tcW w:w="3043" w:type="dxa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hAnsi="宋体"/>
                <w:szCs w:val="21"/>
              </w:rPr>
              <w:t>计算机应用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Ansi="宋体"/>
                <w:szCs w:val="21"/>
              </w:rPr>
              <w:t>EXCEL</w:t>
            </w:r>
            <w:r>
              <w:rPr>
                <w:rFonts w:hint="eastAsia" w:hAnsi="宋体"/>
                <w:szCs w:val="21"/>
              </w:rPr>
              <w:t>高级应用实务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管理信息系统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自我认知与成长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人类行为与社会环境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人事心理学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个案社会工作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群体社会工作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青少年与家庭</w:t>
            </w:r>
            <w:r>
              <w:rPr>
                <w:rFonts w:hAnsi="宋体"/>
                <w:szCs w:val="21"/>
              </w:rPr>
              <w:t>社会工作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社区社会工作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老年社会工作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1276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企业社会工作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4319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13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67" w:type="dxa"/>
          </w:tcPr>
          <w:p>
            <w:pPr>
              <w:widowControl/>
              <w:spacing w:line="360" w:lineRule="auto"/>
              <w:jc w:val="center"/>
              <w:rPr>
                <w:rFonts w:hint="default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>40</w:t>
            </w:r>
          </w:p>
        </w:tc>
      </w:tr>
    </w:tbl>
    <w:p>
      <w:pPr>
        <w:rPr>
          <w:b/>
          <w:sz w:val="24"/>
        </w:rPr>
      </w:pPr>
    </w:p>
    <w:p>
      <w:pPr>
        <w:ind w:firstLine="241" w:firstLineChars="100"/>
        <w:rPr>
          <w:b/>
          <w:sz w:val="24"/>
        </w:rPr>
      </w:pPr>
      <w:r>
        <w:rPr>
          <w:rFonts w:hint="eastAsia"/>
          <w:b/>
          <w:sz w:val="24"/>
        </w:rPr>
        <w:t>七</w:t>
      </w:r>
      <w:r>
        <w:rPr>
          <w:b/>
          <w:sz w:val="24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本科学分制指导性教学计划表</w:t>
      </w:r>
    </w:p>
    <w:p>
      <w:pPr>
        <w:rPr>
          <w:b/>
          <w:sz w:val="24"/>
        </w:rPr>
      </w:pPr>
    </w:p>
    <w:p/>
    <w:p/>
    <w:p/>
    <w:p/>
    <w:p/>
    <w:p/>
    <w:p/>
    <w:sectPr>
      <w:footerReference r:id="rId3" w:type="default"/>
      <w:footerReference r:id="rId4" w:type="even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44355611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373FD6"/>
    <w:rsid w:val="000470A9"/>
    <w:rsid w:val="000478DA"/>
    <w:rsid w:val="000508EE"/>
    <w:rsid w:val="00081F82"/>
    <w:rsid w:val="00094748"/>
    <w:rsid w:val="000C2A00"/>
    <w:rsid w:val="000D3F88"/>
    <w:rsid w:val="001274EE"/>
    <w:rsid w:val="00145D83"/>
    <w:rsid w:val="00177013"/>
    <w:rsid w:val="001C01CB"/>
    <w:rsid w:val="001E5487"/>
    <w:rsid w:val="002227D6"/>
    <w:rsid w:val="002520B0"/>
    <w:rsid w:val="002544C2"/>
    <w:rsid w:val="0025580A"/>
    <w:rsid w:val="002A0B7F"/>
    <w:rsid w:val="002B108A"/>
    <w:rsid w:val="002E2CBD"/>
    <w:rsid w:val="002F1C4E"/>
    <w:rsid w:val="002F69F0"/>
    <w:rsid w:val="003228B2"/>
    <w:rsid w:val="00333036"/>
    <w:rsid w:val="003448FA"/>
    <w:rsid w:val="00354312"/>
    <w:rsid w:val="00365822"/>
    <w:rsid w:val="00373FD6"/>
    <w:rsid w:val="00380C2E"/>
    <w:rsid w:val="00381FF3"/>
    <w:rsid w:val="003A38AA"/>
    <w:rsid w:val="003A4CA3"/>
    <w:rsid w:val="003D1B54"/>
    <w:rsid w:val="003D5201"/>
    <w:rsid w:val="003F741C"/>
    <w:rsid w:val="0040090F"/>
    <w:rsid w:val="00422B7F"/>
    <w:rsid w:val="00432993"/>
    <w:rsid w:val="00447611"/>
    <w:rsid w:val="00474519"/>
    <w:rsid w:val="00482622"/>
    <w:rsid w:val="00484291"/>
    <w:rsid w:val="004A62C3"/>
    <w:rsid w:val="004C2517"/>
    <w:rsid w:val="004E22B9"/>
    <w:rsid w:val="0050036B"/>
    <w:rsid w:val="00504269"/>
    <w:rsid w:val="005054F1"/>
    <w:rsid w:val="00512F67"/>
    <w:rsid w:val="00532BD9"/>
    <w:rsid w:val="0054115D"/>
    <w:rsid w:val="00541DFA"/>
    <w:rsid w:val="00565446"/>
    <w:rsid w:val="005722E3"/>
    <w:rsid w:val="00573C04"/>
    <w:rsid w:val="00575A6E"/>
    <w:rsid w:val="00591308"/>
    <w:rsid w:val="005A0E25"/>
    <w:rsid w:val="005A258F"/>
    <w:rsid w:val="005A3B62"/>
    <w:rsid w:val="005D445B"/>
    <w:rsid w:val="005E1F29"/>
    <w:rsid w:val="005E6B17"/>
    <w:rsid w:val="005F53F1"/>
    <w:rsid w:val="006077EF"/>
    <w:rsid w:val="00613789"/>
    <w:rsid w:val="00614FB4"/>
    <w:rsid w:val="006263BD"/>
    <w:rsid w:val="00627682"/>
    <w:rsid w:val="00640250"/>
    <w:rsid w:val="00654D1C"/>
    <w:rsid w:val="006557A8"/>
    <w:rsid w:val="006678DE"/>
    <w:rsid w:val="00671AA5"/>
    <w:rsid w:val="00685395"/>
    <w:rsid w:val="0069676C"/>
    <w:rsid w:val="00696BC3"/>
    <w:rsid w:val="006A0345"/>
    <w:rsid w:val="006A0E04"/>
    <w:rsid w:val="006A7552"/>
    <w:rsid w:val="006B4812"/>
    <w:rsid w:val="006D5E23"/>
    <w:rsid w:val="00707F21"/>
    <w:rsid w:val="00716BFD"/>
    <w:rsid w:val="0072491F"/>
    <w:rsid w:val="007379FE"/>
    <w:rsid w:val="00746860"/>
    <w:rsid w:val="0075041E"/>
    <w:rsid w:val="00772379"/>
    <w:rsid w:val="00793D92"/>
    <w:rsid w:val="00797BB6"/>
    <w:rsid w:val="007A2D78"/>
    <w:rsid w:val="007A3143"/>
    <w:rsid w:val="007C7455"/>
    <w:rsid w:val="007D3187"/>
    <w:rsid w:val="007F27AB"/>
    <w:rsid w:val="008038F8"/>
    <w:rsid w:val="00804DED"/>
    <w:rsid w:val="0081462B"/>
    <w:rsid w:val="008149D7"/>
    <w:rsid w:val="00815EEF"/>
    <w:rsid w:val="00826BE8"/>
    <w:rsid w:val="008350B8"/>
    <w:rsid w:val="00872B43"/>
    <w:rsid w:val="00874CDC"/>
    <w:rsid w:val="008966DF"/>
    <w:rsid w:val="008B18FF"/>
    <w:rsid w:val="008D72A8"/>
    <w:rsid w:val="008E5605"/>
    <w:rsid w:val="008F3178"/>
    <w:rsid w:val="00907D46"/>
    <w:rsid w:val="00936C79"/>
    <w:rsid w:val="00960C92"/>
    <w:rsid w:val="00963AE5"/>
    <w:rsid w:val="0097344C"/>
    <w:rsid w:val="00977FB4"/>
    <w:rsid w:val="0099160F"/>
    <w:rsid w:val="009B2141"/>
    <w:rsid w:val="009E614D"/>
    <w:rsid w:val="009F6442"/>
    <w:rsid w:val="00A02388"/>
    <w:rsid w:val="00A03A2E"/>
    <w:rsid w:val="00A03FA4"/>
    <w:rsid w:val="00A2483A"/>
    <w:rsid w:val="00A327EE"/>
    <w:rsid w:val="00A57FAC"/>
    <w:rsid w:val="00A73B26"/>
    <w:rsid w:val="00AB4A85"/>
    <w:rsid w:val="00AC3D9F"/>
    <w:rsid w:val="00AD78BD"/>
    <w:rsid w:val="00AF56FA"/>
    <w:rsid w:val="00B038B3"/>
    <w:rsid w:val="00B04DC8"/>
    <w:rsid w:val="00B07CC4"/>
    <w:rsid w:val="00B27507"/>
    <w:rsid w:val="00B447D0"/>
    <w:rsid w:val="00B50840"/>
    <w:rsid w:val="00B73BA0"/>
    <w:rsid w:val="00B73FF0"/>
    <w:rsid w:val="00B77C2E"/>
    <w:rsid w:val="00B94066"/>
    <w:rsid w:val="00BA0C87"/>
    <w:rsid w:val="00BC3F0C"/>
    <w:rsid w:val="00BE2D9C"/>
    <w:rsid w:val="00BF7CB1"/>
    <w:rsid w:val="00C04CB5"/>
    <w:rsid w:val="00C11842"/>
    <w:rsid w:val="00C11B03"/>
    <w:rsid w:val="00C15C10"/>
    <w:rsid w:val="00C2036F"/>
    <w:rsid w:val="00C22447"/>
    <w:rsid w:val="00C378B0"/>
    <w:rsid w:val="00C7027F"/>
    <w:rsid w:val="00C70652"/>
    <w:rsid w:val="00C7370A"/>
    <w:rsid w:val="00CA793F"/>
    <w:rsid w:val="00CB3487"/>
    <w:rsid w:val="00CB6855"/>
    <w:rsid w:val="00CC7675"/>
    <w:rsid w:val="00CD0556"/>
    <w:rsid w:val="00D1249E"/>
    <w:rsid w:val="00D2509C"/>
    <w:rsid w:val="00D331D3"/>
    <w:rsid w:val="00D42895"/>
    <w:rsid w:val="00D519FD"/>
    <w:rsid w:val="00D66458"/>
    <w:rsid w:val="00DB3D99"/>
    <w:rsid w:val="00DC271F"/>
    <w:rsid w:val="00DC72D1"/>
    <w:rsid w:val="00DF7F0D"/>
    <w:rsid w:val="00E26019"/>
    <w:rsid w:val="00E538B8"/>
    <w:rsid w:val="00E65016"/>
    <w:rsid w:val="00E73FDF"/>
    <w:rsid w:val="00E85C8E"/>
    <w:rsid w:val="00EE7DB9"/>
    <w:rsid w:val="00EF6518"/>
    <w:rsid w:val="00F01F36"/>
    <w:rsid w:val="00F0456B"/>
    <w:rsid w:val="00F04E18"/>
    <w:rsid w:val="00F05A92"/>
    <w:rsid w:val="00F1232B"/>
    <w:rsid w:val="00F17D1F"/>
    <w:rsid w:val="00F17DD7"/>
    <w:rsid w:val="00F20E19"/>
    <w:rsid w:val="00F272B4"/>
    <w:rsid w:val="00F44A92"/>
    <w:rsid w:val="00F5136C"/>
    <w:rsid w:val="00F93C56"/>
    <w:rsid w:val="00FA2CF2"/>
    <w:rsid w:val="00FB420A"/>
    <w:rsid w:val="00FB4DFE"/>
    <w:rsid w:val="00FC1B78"/>
    <w:rsid w:val="00FE19E5"/>
    <w:rsid w:val="05104A78"/>
    <w:rsid w:val="1DE755A2"/>
    <w:rsid w:val="2FB602E1"/>
    <w:rsid w:val="50250ADD"/>
    <w:rsid w:val="59C2697F"/>
    <w:rsid w:val="5B9D1F5D"/>
    <w:rsid w:val="63144C8D"/>
    <w:rsid w:val="6F09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7"/>
    <w:semiHidden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21"/>
    <w:semiHidden/>
    <w:unhideWhenUsed/>
    <w:qFormat/>
    <w:uiPriority w:val="99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脚 字符"/>
    <w:link w:val="5"/>
    <w:qFormat/>
    <w:uiPriority w:val="99"/>
    <w:rPr>
      <w:sz w:val="18"/>
      <w:szCs w:val="18"/>
    </w:rPr>
  </w:style>
  <w:style w:type="character" w:customStyle="1" w:styleId="14">
    <w:name w:val="页脚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6">
    <w:name w:val="long_text1"/>
    <w:qFormat/>
    <w:uiPriority w:val="99"/>
    <w:rPr>
      <w:rFonts w:cs="Times New Roman"/>
      <w:sz w:val="20"/>
      <w:szCs w:val="20"/>
    </w:rPr>
  </w:style>
  <w:style w:type="character" w:customStyle="1" w:styleId="17">
    <w:name w:val="正文文本缩进 字符"/>
    <w:basedOn w:val="10"/>
    <w:link w:val="3"/>
    <w:semiHidden/>
    <w:qFormat/>
    <w:uiPriority w:val="99"/>
    <w:rPr>
      <w:rFonts w:ascii="Times New Roman" w:hAnsi="Times New Roman" w:eastAsia="宋体" w:cs="Times New Roman"/>
      <w:sz w:val="24"/>
      <w:szCs w:val="24"/>
      <w:lang w:val="zh-CN" w:eastAsia="zh-CN"/>
    </w:rPr>
  </w:style>
  <w:style w:type="character" w:customStyle="1" w:styleId="18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0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批注主题 字符"/>
    <w:basedOn w:val="20"/>
    <w:link w:val="8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EFD17D-B336-4E36-BE1A-51B5F8571F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303</Words>
  <Characters>1728</Characters>
  <Lines>14</Lines>
  <Paragraphs>4</Paragraphs>
  <TotalTime>0</TotalTime>
  <ScaleCrop>false</ScaleCrop>
  <LinksUpToDate>false</LinksUpToDate>
  <CharactersWithSpaces>2027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2021-04-14T03:19:00Z</dcterms:created>
  <dc:creator>Windows 用户</dc:creator>
  <cp:lastModifiedBy>5438</cp:lastModifiedBy>
  <cp:lastPrinted>2017-08-04T03:33:00Z</cp:lastPrinted>
  <dcterms:modified xsi:type="dcterms:W3CDTF">2022-12-09T12:07:28Z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C7EAEDF94E334072A01BBB87ABED08F4</vt:lpwstr>
  </property>
</Properties>
</file>