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b/>
          <w:sz w:val="32"/>
          <w:szCs w:val="32"/>
        </w:rPr>
      </w:pPr>
    </w:p>
    <w:p>
      <w:pPr>
        <w:spacing w:line="560" w:lineRule="exact"/>
        <w:jc w:val="center"/>
        <w:rPr>
          <w:rFonts w:asciiTheme="minorEastAsia" w:hAnsiTheme="minorEastAsia" w:eastAsiaTheme="minorEastAsia"/>
          <w:sz w:val="36"/>
          <w:szCs w:val="44"/>
        </w:rPr>
      </w:pPr>
      <w:r>
        <w:rPr>
          <w:rFonts w:hint="eastAsia" w:asciiTheme="minorEastAsia" w:hAnsiTheme="minorEastAsia" w:eastAsiaTheme="minorEastAsia"/>
          <w:sz w:val="36"/>
          <w:szCs w:val="44"/>
        </w:rPr>
        <w:t>资产评估专业（评估师）本科人才培养方案</w:t>
      </w:r>
    </w:p>
    <w:p>
      <w:pPr>
        <w:spacing w:line="360" w:lineRule="auto"/>
        <w:jc w:val="center"/>
        <w:rPr>
          <w:rFonts w:asciiTheme="minorEastAsia" w:hAnsiTheme="minorEastAsia" w:eastAsiaTheme="minorEastAsia"/>
          <w:bCs/>
          <w:sz w:val="36"/>
          <w:szCs w:val="44"/>
        </w:rPr>
      </w:pPr>
      <w:r>
        <w:rPr>
          <w:rFonts w:hint="eastAsia" w:asciiTheme="minorEastAsia" w:hAnsiTheme="minorEastAsia" w:eastAsiaTheme="minorEastAsia"/>
          <w:bCs/>
          <w:sz w:val="36"/>
          <w:szCs w:val="44"/>
        </w:rPr>
        <w:t>（</w:t>
      </w:r>
      <w:r>
        <w:rPr>
          <w:rFonts w:asciiTheme="minorEastAsia" w:hAnsiTheme="minorEastAsia" w:eastAsiaTheme="minorEastAsia"/>
          <w:bCs/>
          <w:sz w:val="36"/>
          <w:szCs w:val="44"/>
        </w:rPr>
        <w:t>专业代码</w:t>
      </w:r>
      <w:r>
        <w:rPr>
          <w:rFonts w:hint="eastAsia" w:asciiTheme="minorEastAsia" w:hAnsiTheme="minorEastAsia" w:eastAsiaTheme="minorEastAsia"/>
          <w:bCs/>
          <w:sz w:val="36"/>
          <w:szCs w:val="44"/>
        </w:rPr>
        <w:t>：</w:t>
      </w:r>
      <w:r>
        <w:rPr>
          <w:rFonts w:asciiTheme="minorEastAsia" w:hAnsiTheme="minorEastAsia" w:eastAsiaTheme="minorEastAsia"/>
          <w:bCs/>
          <w:sz w:val="36"/>
          <w:szCs w:val="44"/>
        </w:rPr>
        <w:t>120208</w:t>
      </w:r>
      <w:r>
        <w:rPr>
          <w:rFonts w:hint="eastAsia" w:asciiTheme="minorEastAsia" w:hAnsiTheme="minorEastAsia" w:eastAsiaTheme="minorEastAsia"/>
          <w:bCs/>
          <w:sz w:val="36"/>
          <w:szCs w:val="44"/>
        </w:rPr>
        <w:t>）</w:t>
      </w:r>
    </w:p>
    <w:p>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一、培养目标</w:t>
      </w:r>
    </w:p>
    <w:p>
      <w:pPr>
        <w:widowControl/>
        <w:spacing w:line="360" w:lineRule="auto"/>
        <w:ind w:firstLine="480" w:firstLineChars="200"/>
        <w:jc w:val="left"/>
        <w:rPr>
          <w:rFonts w:ascii="宋体" w:hAnsi="宋体"/>
          <w:bCs/>
          <w:kern w:val="0"/>
          <w:sz w:val="24"/>
        </w:rPr>
      </w:pPr>
      <w:r>
        <w:rPr>
          <w:rFonts w:hint="eastAsia"/>
          <w:sz w:val="24"/>
        </w:rPr>
        <w:t>本专业培养具有正确社会主义核心价值观，</w:t>
      </w:r>
      <w:r>
        <w:rPr>
          <w:rFonts w:hint="eastAsia" w:ascii="宋体" w:hAnsi="宋体"/>
          <w:bCs/>
          <w:kern w:val="0"/>
          <w:sz w:val="24"/>
        </w:rPr>
        <w:t>具有</w:t>
      </w:r>
      <w:r>
        <w:rPr>
          <w:rFonts w:ascii="宋体" w:hAnsi="宋体"/>
          <w:bCs/>
          <w:kern w:val="0"/>
          <w:sz w:val="24"/>
        </w:rPr>
        <w:t>创新性思维和国际视野，具备人文精神和诚信品质，熟练掌握中外资产评估</w:t>
      </w:r>
      <w:r>
        <w:rPr>
          <w:rFonts w:hint="eastAsia" w:ascii="宋体" w:hAnsi="宋体"/>
          <w:bCs/>
          <w:kern w:val="0"/>
          <w:sz w:val="24"/>
        </w:rPr>
        <w:t>知识，拥有扎实的资产评估理论基础和综合实践能力,</w:t>
      </w:r>
      <w:r>
        <w:rPr>
          <w:rFonts w:ascii="宋体" w:hAnsi="宋体"/>
          <w:bCs/>
          <w:kern w:val="0"/>
          <w:sz w:val="24"/>
        </w:rPr>
        <w:t>可以在中外资产评估</w:t>
      </w:r>
      <w:r>
        <w:rPr>
          <w:rFonts w:hint="eastAsia" w:ascii="宋体" w:hAnsi="宋体"/>
          <w:bCs/>
          <w:kern w:val="0"/>
          <w:sz w:val="24"/>
        </w:rPr>
        <w:t>机构</w:t>
      </w:r>
      <w:r>
        <w:rPr>
          <w:rFonts w:ascii="宋体" w:hAnsi="宋体"/>
          <w:bCs/>
          <w:kern w:val="0"/>
          <w:sz w:val="24"/>
        </w:rPr>
        <w:t>、会计师事务所等鉴证类中介机构以及政府资产管理部门、企事业单位、金融</w:t>
      </w:r>
      <w:r>
        <w:rPr>
          <w:rFonts w:hint="eastAsia" w:ascii="宋体" w:hAnsi="宋体"/>
          <w:bCs/>
          <w:kern w:val="0"/>
          <w:sz w:val="24"/>
        </w:rPr>
        <w:t>机构</w:t>
      </w:r>
      <w:r>
        <w:rPr>
          <w:rFonts w:ascii="宋体" w:hAnsi="宋体"/>
          <w:bCs/>
          <w:kern w:val="0"/>
          <w:sz w:val="24"/>
        </w:rPr>
        <w:t>从事资产评估及相关工作的复合型</w:t>
      </w:r>
      <w:r>
        <w:rPr>
          <w:rFonts w:hint="eastAsia" w:ascii="宋体" w:hAnsi="宋体"/>
          <w:bCs/>
          <w:kern w:val="0"/>
          <w:sz w:val="24"/>
        </w:rPr>
        <w:t>国际化</w:t>
      </w:r>
      <w:r>
        <w:rPr>
          <w:rFonts w:ascii="宋体" w:hAnsi="宋体"/>
          <w:bCs/>
          <w:kern w:val="0"/>
          <w:sz w:val="24"/>
        </w:rPr>
        <w:t>高素质人才。</w:t>
      </w:r>
    </w:p>
    <w:p>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二、毕业要求</w:t>
      </w:r>
    </w:p>
    <w:p>
      <w:pPr>
        <w:spacing w:line="360" w:lineRule="auto"/>
        <w:ind w:firstLine="480" w:firstLineChars="200"/>
        <w:rPr>
          <w:sz w:val="24"/>
        </w:rPr>
      </w:pPr>
      <w:r>
        <w:rPr>
          <w:rFonts w:hint="eastAsia" w:ascii="宋体" w:hAnsi="宋体"/>
          <w:bCs/>
          <w:kern w:val="0"/>
          <w:sz w:val="24"/>
        </w:rPr>
        <w:t>1.</w:t>
      </w:r>
      <w:r>
        <w:rPr>
          <w:rFonts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2.掌握通识教育类、学科基础类、专业必修类、专业选修类课程知识及相关管理学和经济学知识，并能运用所学知识解释、分析资产评估及相关领域的现象和问题；</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3.能够应用资产评估学科基本原理、方法对资产评估及相关领域问题进行判断、分析和研究，提出相应对策和建议，并形成解决方案；</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4.适应互联网+背景，能够恰当选择与使用现代工具对资产评估领域数据信息进行文献检索、资料查询和分析处理，完成所从事的专业任务；</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5.了解资产评估学科发展前沿，具有国际视野，能够使用书面和口头表达方式与国内外业界同行、社会公众就资产评估领域现象和问题进行有效沟通与交流；</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6.具有团队协作意识，能够在资产评估学科及多学科团队活动中发挥个人能力，并能与其他成员进行有效沟通与协调合作；</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7.具有自主学习和终身学习意识，有较强的创业创新能力及不断学习与适应发展的能力；</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8.具有人文素养、科学精神和社会责任感，熟悉资产评估领域相关政策及法律、法规，能够在资产评估实践活动中理解并遵守职业道德和职业规范并履行责任。</w:t>
      </w:r>
    </w:p>
    <w:p>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三、核心课程</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评估学原理（双语）、财务管理学、资产定价理论基础（双语）、金融资产评估、企业价值评估、无形资产评估、</w:t>
      </w:r>
      <w:r>
        <w:rPr>
          <w:rFonts w:ascii="宋体" w:hAnsi="宋体"/>
          <w:bCs/>
          <w:kern w:val="0"/>
          <w:sz w:val="24"/>
        </w:rPr>
        <w:t>国际</w:t>
      </w:r>
      <w:r>
        <w:rPr>
          <w:rFonts w:hint="eastAsia" w:ascii="宋体" w:hAnsi="宋体"/>
          <w:bCs/>
          <w:kern w:val="0"/>
          <w:sz w:val="24"/>
        </w:rPr>
        <w:t>评估准则</w:t>
      </w:r>
      <w:r>
        <w:rPr>
          <w:rFonts w:ascii="宋体" w:hAnsi="宋体"/>
          <w:bCs/>
          <w:kern w:val="0"/>
          <w:sz w:val="24"/>
        </w:rPr>
        <w:t>（双语）</w:t>
      </w:r>
      <w:r>
        <w:rPr>
          <w:rFonts w:hint="eastAsia" w:ascii="宋体" w:hAnsi="宋体"/>
          <w:bCs/>
          <w:kern w:val="0"/>
          <w:sz w:val="24"/>
        </w:rPr>
        <w:t>、房地产评估、价值评估和财务报表分析、并购价值评估、资产评估实务与案例分析、会计学基础、财务会计学、审计学、金融学、中国税制、经济法等。</w:t>
      </w:r>
    </w:p>
    <w:p>
      <w:pPr>
        <w:widowControl/>
        <w:spacing w:line="360" w:lineRule="auto"/>
        <w:ind w:firstLine="482" w:firstLineChars="200"/>
        <w:jc w:val="left"/>
        <w:rPr>
          <w:rFonts w:ascii="宋体" w:hAnsi="宋体"/>
          <w:bCs/>
          <w:kern w:val="0"/>
          <w:sz w:val="24"/>
        </w:rPr>
      </w:pPr>
      <w:r>
        <w:rPr>
          <w:rFonts w:hint="eastAsia" w:ascii="宋体" w:hAnsi="宋体"/>
          <w:b/>
          <w:bCs/>
          <w:kern w:val="0"/>
          <w:sz w:val="24"/>
          <w:szCs w:val="32"/>
        </w:rPr>
        <w:t>四、培养特色</w:t>
      </w:r>
    </w:p>
    <w:p>
      <w:pPr>
        <w:spacing w:line="360" w:lineRule="auto"/>
        <w:ind w:firstLine="482" w:firstLineChars="200"/>
        <w:rPr>
          <w:b/>
          <w:sz w:val="24"/>
        </w:rPr>
      </w:pPr>
      <w:r>
        <w:rPr>
          <w:b/>
          <w:sz w:val="24"/>
        </w:rPr>
        <w:t>1</w:t>
      </w:r>
      <w:r>
        <w:rPr>
          <w:rFonts w:hint="eastAsia"/>
          <w:b/>
          <w:sz w:val="24"/>
        </w:rPr>
        <w:t>．打造</w:t>
      </w:r>
      <w:r>
        <w:rPr>
          <w:rFonts w:hint="eastAsia"/>
          <w:b/>
          <w:bCs/>
          <w:sz w:val="24"/>
        </w:rPr>
        <w:t>“理实一体”国际化资产评估卓越人才。</w:t>
      </w:r>
      <w:r>
        <w:rPr>
          <w:rFonts w:hint="eastAsia"/>
          <w:bCs/>
          <w:sz w:val="24"/>
        </w:rPr>
        <w:t>与</w:t>
      </w:r>
      <w:r>
        <w:rPr>
          <w:bCs/>
          <w:sz w:val="24"/>
        </w:rPr>
        <w:t>国外相关高校、美国评估师协会（ASA）</w:t>
      </w:r>
      <w:r>
        <w:rPr>
          <w:rFonts w:hint="eastAsia"/>
          <w:sz w:val="24"/>
        </w:rPr>
        <w:t>、</w:t>
      </w:r>
      <w:r>
        <w:rPr>
          <w:sz w:val="24"/>
        </w:rPr>
        <w:t>英国皇家特许测量师学会（RICS）</w:t>
      </w:r>
      <w:r>
        <w:rPr>
          <w:rFonts w:hint="eastAsia"/>
          <w:sz w:val="24"/>
        </w:rPr>
        <w:t>等国际评估机构</w:t>
      </w:r>
      <w:r>
        <w:rPr>
          <w:sz w:val="24"/>
        </w:rPr>
        <w:t>合作，打造国际化课程体系，培养</w:t>
      </w:r>
      <w:r>
        <w:rPr>
          <w:rFonts w:hint="eastAsia"/>
          <w:sz w:val="24"/>
        </w:rPr>
        <w:t>掌握资产评估理论并</w:t>
      </w:r>
      <w:r>
        <w:rPr>
          <w:rFonts w:hint="eastAsia"/>
          <w:sz w:val="24"/>
          <w:szCs w:val="28"/>
        </w:rPr>
        <w:t>通晓国内外评估准则、具备处理国际资产评估业务能力的资产评估卓越人才。</w:t>
      </w:r>
    </w:p>
    <w:p>
      <w:pPr>
        <w:spacing w:line="360" w:lineRule="auto"/>
        <w:rPr>
          <w:sz w:val="24"/>
        </w:rPr>
      </w:pPr>
      <w:r>
        <w:rPr>
          <w:rFonts w:hint="eastAsia"/>
          <w:b/>
          <w:sz w:val="24"/>
        </w:rPr>
        <w:t xml:space="preserve">    2．实行“内外双驱”、“四位一体”式实践教学模式。</w:t>
      </w:r>
      <w:r>
        <w:rPr>
          <w:rFonts w:hint="eastAsia"/>
          <w:sz w:val="24"/>
        </w:rPr>
        <w:t>依托中企华资产评估有限公司、中联资产评估集团、仲量联行企业评估和咨询公司、香港测量师学会、等知名国内外资产评估机构，搭建校内外联合培养实践教学平台，培养和提升学生资产评估实践能力。</w:t>
      </w:r>
    </w:p>
    <w:p>
      <w:pPr>
        <w:spacing w:line="360" w:lineRule="auto"/>
        <w:ind w:firstLine="482" w:firstLineChars="200"/>
        <w:rPr>
          <w:sz w:val="24"/>
          <w:szCs w:val="28"/>
        </w:rPr>
      </w:pPr>
      <w:r>
        <w:rPr>
          <w:rFonts w:hint="eastAsia"/>
          <w:b/>
          <w:sz w:val="24"/>
        </w:rPr>
        <w:t>3．</w:t>
      </w:r>
      <w:r>
        <w:rPr>
          <w:b/>
          <w:sz w:val="24"/>
        </w:rPr>
        <w:t>个人成长与专业发展相结合</w:t>
      </w:r>
      <w:r>
        <w:rPr>
          <w:rFonts w:hint="eastAsia"/>
          <w:b/>
          <w:sz w:val="24"/>
        </w:rPr>
        <w:t>。</w:t>
      </w:r>
      <w:r>
        <w:rPr>
          <w:rFonts w:hint="eastAsia"/>
          <w:sz w:val="24"/>
        </w:rPr>
        <w:t>强化人文精神和职业道德培养，</w:t>
      </w:r>
      <w:r>
        <w:rPr>
          <w:sz w:val="24"/>
        </w:rPr>
        <w:t>围绕专业方向开设专业课程群，</w:t>
      </w:r>
      <w:r>
        <w:rPr>
          <w:rFonts w:hint="eastAsia"/>
          <w:sz w:val="24"/>
        </w:rPr>
        <w:t>实行</w:t>
      </w:r>
      <w:r>
        <w:rPr>
          <w:sz w:val="24"/>
        </w:rPr>
        <w:t>专业</w:t>
      </w:r>
      <w:r>
        <w:rPr>
          <w:rFonts w:hint="eastAsia"/>
          <w:sz w:val="24"/>
        </w:rPr>
        <w:t>个性化</w:t>
      </w:r>
      <w:r>
        <w:rPr>
          <w:sz w:val="24"/>
        </w:rPr>
        <w:t>培养</w:t>
      </w:r>
      <w:r>
        <w:rPr>
          <w:rFonts w:hint="eastAsia"/>
          <w:sz w:val="24"/>
        </w:rPr>
        <w:t>，实现</w:t>
      </w:r>
      <w:r>
        <w:rPr>
          <w:rFonts w:hint="eastAsia"/>
          <w:sz w:val="24"/>
          <w:szCs w:val="28"/>
        </w:rPr>
        <w:t>个人素质和专业能力的全面发展。</w:t>
      </w:r>
    </w:p>
    <w:p>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五、学制和学位</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本专业基本学制为四年，实行弹性修业年限制度，学生在校修业年限可以提前至三年或延长至六年，修满规定的学分准予毕业。符合学士学位授予条件者，授予管理学学士学位。</w:t>
      </w:r>
    </w:p>
    <w:p>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六、学分一览表</w:t>
      </w:r>
    </w:p>
    <w:p>
      <w:pPr>
        <w:pStyle w:val="10"/>
        <w:widowControl/>
        <w:spacing w:line="360" w:lineRule="auto"/>
        <w:ind w:left="420" w:firstLine="0" w:firstLineChars="0"/>
        <w:jc w:val="left"/>
        <w:rPr>
          <w:rFonts w:ascii="宋体" w:hAnsi="宋体"/>
          <w:b/>
          <w:bCs/>
          <w:kern w:val="0"/>
          <w:sz w:val="24"/>
          <w:szCs w:val="32"/>
        </w:rPr>
      </w:pPr>
    </w:p>
    <w:p>
      <w:pPr>
        <w:pStyle w:val="10"/>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6"/>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spacing w:line="560" w:lineRule="exact"/>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spacing w:line="560" w:lineRule="exact"/>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spacing w:line="560" w:lineRule="exact"/>
              <w:jc w:val="center"/>
              <w:rPr>
                <w:rFonts w:ascii="宋体" w:hAnsi="宋体"/>
                <w:b/>
                <w:kern w:val="0"/>
                <w:szCs w:val="21"/>
              </w:rPr>
            </w:pPr>
            <w:r>
              <w:rPr>
                <w:rFonts w:hint="eastAsia" w:ascii="宋体" w:hAnsi="宋体"/>
                <w:b/>
                <w:kern w:val="0"/>
                <w:szCs w:val="21"/>
              </w:rPr>
              <w:t>理论与实践教学比例（%）</w:t>
            </w:r>
          </w:p>
        </w:tc>
      </w:tr>
      <w:tr>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ascii="宋体" w:hAnsi="宋体"/>
                <w:kern w:val="0"/>
                <w:szCs w:val="21"/>
              </w:rPr>
              <w:t>15</w:t>
            </w:r>
            <w:r>
              <w:rPr>
                <w:rFonts w:hint="eastAsia" w:ascii="宋体" w:hAnsi="宋体"/>
                <w:kern w:val="0"/>
                <w:szCs w:val="21"/>
                <w:lang w:val="en-US" w:eastAsia="zh-CN"/>
              </w:rPr>
              <w:t>7</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560" w:lineRule="exact"/>
              <w:jc w:val="center"/>
              <w:rPr>
                <w:rFonts w:hint="default" w:ascii="宋体" w:hAnsi="宋体" w:eastAsia="宋体"/>
                <w:kern w:val="0"/>
                <w:szCs w:val="21"/>
                <w:lang w:val="en-US" w:eastAsia="zh-CN"/>
              </w:rPr>
            </w:pPr>
            <w:r>
              <w:rPr>
                <w:rFonts w:ascii="宋体" w:hAnsi="宋体"/>
                <w:kern w:val="0"/>
                <w:szCs w:val="21"/>
              </w:rPr>
              <w:t>1</w:t>
            </w:r>
            <w:r>
              <w:rPr>
                <w:rFonts w:hint="eastAsia" w:ascii="宋体" w:hAnsi="宋体"/>
                <w:kern w:val="0"/>
                <w:szCs w:val="21"/>
                <w:lang w:val="en-US" w:eastAsia="zh-CN"/>
              </w:rPr>
              <w:t>29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560" w:lineRule="exact"/>
              <w:jc w:val="center"/>
              <w:rPr>
                <w:rFonts w:hint="default" w:ascii="宋体" w:hAnsi="宋体" w:eastAsia="宋体"/>
                <w:kern w:val="0"/>
                <w:szCs w:val="21"/>
                <w:lang w:val="en-US" w:eastAsia="zh-CN"/>
              </w:rPr>
            </w:pPr>
            <w:r>
              <w:rPr>
                <w:rFonts w:ascii="宋体" w:hAnsi="宋体"/>
                <w:kern w:val="0"/>
                <w:szCs w:val="21"/>
              </w:rPr>
              <w:t>1</w:t>
            </w:r>
            <w:r>
              <w:rPr>
                <w:rFonts w:hint="eastAsia" w:ascii="宋体" w:hAnsi="宋体"/>
                <w:kern w:val="0"/>
                <w:szCs w:val="21"/>
                <w:lang w:val="en-US" w:eastAsia="zh-CN"/>
              </w:rPr>
              <w:t>19</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hint="eastAsia" w:ascii="宋体" w:hAnsi="宋体"/>
                <w:kern w:val="0"/>
                <w:szCs w:val="21"/>
                <w:lang w:val="en-US" w:eastAsia="zh-CN"/>
              </w:rPr>
              <w:t>76</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spacing w:line="560" w:lineRule="exact"/>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560" w:lineRule="exact"/>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560" w:lineRule="exact"/>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10</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4</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rFonts w:ascii="宋体" w:hAnsi="宋体"/>
                <w:kern w:val="0"/>
                <w:szCs w:val="21"/>
              </w:rPr>
            </w:pPr>
          </w:p>
        </w:tc>
      </w:tr>
    </w:tbl>
    <w:p>
      <w:pPr>
        <w:pStyle w:val="10"/>
        <w:widowControl/>
        <w:spacing w:line="360" w:lineRule="auto"/>
        <w:ind w:firstLine="0" w:firstLineChars="0"/>
        <w:jc w:val="center"/>
        <w:rPr>
          <w:rFonts w:ascii="宋体" w:hAnsi="宋体"/>
          <w:b/>
          <w:bCs/>
          <w:kern w:val="0"/>
          <w:sz w:val="24"/>
          <w:szCs w:val="32"/>
        </w:rPr>
      </w:pPr>
    </w:p>
    <w:p>
      <w:pPr>
        <w:pStyle w:val="10"/>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6"/>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b/>
                <w:szCs w:val="21"/>
              </w:rPr>
              <w:t>通识教育必修课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3</w:t>
            </w:r>
          </w:p>
        </w:tc>
        <w:tc>
          <w:tcPr>
            <w:tcW w:w="144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hint="default" w:ascii="宋体" w:hAnsi="宋体" w:eastAsia="宋体"/>
                <w:szCs w:val="21"/>
                <w:lang w:val="en-US" w:eastAsia="zh-CN"/>
              </w:rPr>
            </w:pPr>
            <w:r>
              <w:rPr>
                <w:rFonts w:ascii="宋体" w:hAnsi="宋体"/>
                <w:szCs w:val="21"/>
              </w:rPr>
              <w:t>9</w:t>
            </w:r>
            <w:r>
              <w:rPr>
                <w:rFonts w:hint="eastAsia" w:ascii="宋体" w:hAnsi="宋体"/>
                <w:szCs w:val="21"/>
                <w:lang w:val="en-US" w:eastAsia="zh-CN"/>
              </w:rPr>
              <w:t>32</w:t>
            </w:r>
          </w:p>
        </w:tc>
        <w:tc>
          <w:tcPr>
            <w:tcW w:w="1647"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hint="eastAsia" w:ascii="宋体" w:hAnsi="宋体" w:eastAsia="宋体"/>
                <w:szCs w:val="21"/>
                <w:lang w:eastAsia="zh-CN"/>
              </w:rPr>
            </w:pPr>
            <w:r>
              <w:rPr>
                <w:rFonts w:ascii="宋体" w:hAnsi="宋体"/>
                <w:szCs w:val="21"/>
              </w:rPr>
              <w:t>5</w:t>
            </w:r>
            <w:r>
              <w:rPr>
                <w:rFonts w:hint="eastAsia" w:ascii="宋体" w:hAnsi="宋体"/>
                <w:szCs w:val="21"/>
                <w:lang w:val="en-US" w:eastAsia="zh-CN"/>
              </w:rPr>
              <w:t>3</w:t>
            </w:r>
          </w:p>
        </w:tc>
        <w:tc>
          <w:tcPr>
            <w:tcW w:w="1848" w:type="dxa"/>
            <w:tcBorders>
              <w:top w:val="single" w:color="auto" w:sz="4" w:space="0"/>
              <w:left w:val="single" w:color="auto" w:sz="4" w:space="0"/>
              <w:bottom w:val="single" w:color="auto" w:sz="4" w:space="0"/>
            </w:tcBorders>
            <w:vAlign w:val="bottom"/>
          </w:tcPr>
          <w:p>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41.09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b/>
                <w:szCs w:val="21"/>
              </w:rPr>
              <w:t>学科基础课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11</w:t>
            </w:r>
          </w:p>
        </w:tc>
        <w:tc>
          <w:tcPr>
            <w:tcW w:w="144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480</w:t>
            </w:r>
          </w:p>
        </w:tc>
        <w:tc>
          <w:tcPr>
            <w:tcW w:w="1647"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30</w:t>
            </w:r>
          </w:p>
        </w:tc>
        <w:tc>
          <w:tcPr>
            <w:tcW w:w="1848" w:type="dxa"/>
            <w:tcBorders>
              <w:top w:val="single" w:color="auto" w:sz="4" w:space="0"/>
              <w:left w:val="single" w:color="auto" w:sz="4" w:space="0"/>
              <w:bottom w:val="single" w:color="auto" w:sz="4" w:space="0"/>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23.26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b/>
                <w:szCs w:val="21"/>
              </w:rPr>
              <w:t>专业核心课</w:t>
            </w:r>
          </w:p>
        </w:tc>
        <w:tc>
          <w:tcPr>
            <w:tcW w:w="162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7</w:t>
            </w:r>
          </w:p>
        </w:tc>
        <w:tc>
          <w:tcPr>
            <w:tcW w:w="144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240</w:t>
            </w:r>
          </w:p>
        </w:tc>
        <w:tc>
          <w:tcPr>
            <w:tcW w:w="1647"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15</w:t>
            </w:r>
          </w:p>
        </w:tc>
        <w:tc>
          <w:tcPr>
            <w:tcW w:w="1848" w:type="dxa"/>
            <w:tcBorders>
              <w:top w:val="single" w:color="auto" w:sz="4" w:space="0"/>
              <w:left w:val="single" w:color="auto" w:sz="4" w:space="0"/>
              <w:bottom w:val="single" w:color="auto" w:sz="4" w:space="0"/>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11.63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b/>
                <w:szCs w:val="21"/>
              </w:rPr>
              <w:t>通识教育选修课</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647"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ascii="宋体" w:hAnsi="宋体"/>
                <w:szCs w:val="21"/>
              </w:rPr>
              <w:t>10</w:t>
            </w:r>
          </w:p>
        </w:tc>
        <w:tc>
          <w:tcPr>
            <w:tcW w:w="1848" w:type="dxa"/>
            <w:tcBorders>
              <w:top w:val="single" w:color="auto" w:sz="4" w:space="0"/>
              <w:left w:val="single" w:color="auto" w:sz="4" w:space="0"/>
              <w:bottom w:val="single" w:color="auto" w:sz="4" w:space="0"/>
            </w:tcBorders>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restart"/>
            <w:tcBorders>
              <w:top w:val="single" w:color="auto" w:sz="4" w:space="0"/>
              <w:right w:val="single" w:color="auto" w:sz="4" w:space="0"/>
            </w:tcBorders>
          </w:tcPr>
          <w:p>
            <w:pPr>
              <w:adjustRightInd w:val="0"/>
              <w:snapToGrid w:val="0"/>
              <w:spacing w:line="360" w:lineRule="exact"/>
              <w:rPr>
                <w:rFonts w:ascii="宋体" w:hAnsi="宋体"/>
                <w:szCs w:val="21"/>
              </w:rPr>
            </w:pPr>
          </w:p>
          <w:p>
            <w:pPr>
              <w:adjustRightInd w:val="0"/>
              <w:snapToGrid w:val="0"/>
              <w:spacing w:line="360" w:lineRule="exact"/>
              <w:jc w:val="center"/>
              <w:rPr>
                <w:rFonts w:ascii="宋体" w:hAnsi="宋体"/>
                <w:b/>
                <w:szCs w:val="21"/>
              </w:rPr>
            </w:pPr>
            <w:r>
              <w:rPr>
                <w:rFonts w:hint="eastAsia" w:ascii="宋体" w:hAnsi="宋体"/>
                <w:szCs w:val="21"/>
              </w:rPr>
              <w:t>个性教育</w:t>
            </w:r>
          </w:p>
        </w:tc>
        <w:tc>
          <w:tcPr>
            <w:tcW w:w="941" w:type="dxa"/>
            <w:tcBorders>
              <w:top w:val="single" w:color="auto" w:sz="4" w:space="0"/>
              <w:bottom w:val="single" w:color="auto" w:sz="4"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szCs w:val="21"/>
              </w:rPr>
              <w:t>专业提升课</w:t>
            </w:r>
          </w:p>
        </w:tc>
        <w:tc>
          <w:tcPr>
            <w:tcW w:w="1620" w:type="dxa"/>
            <w:vMerge w:val="restart"/>
            <w:tcBorders>
              <w:top w:val="single" w:color="auto" w:sz="4" w:space="0"/>
              <w:left w:val="single" w:color="auto" w:sz="4" w:space="0"/>
              <w:right w:val="single" w:color="auto" w:sz="4" w:space="0"/>
            </w:tcBorders>
          </w:tcPr>
          <w:p>
            <w:pPr>
              <w:jc w:val="center"/>
              <w:rPr>
                <w:rFonts w:ascii="宋体" w:hAnsi="宋体"/>
                <w:color w:val="000000" w:themeColor="text1"/>
                <w:szCs w:val="21"/>
                <w14:textFill>
                  <w14:solidFill>
                    <w14:schemeClr w14:val="tx1"/>
                  </w14:solidFill>
                </w14:textFill>
              </w:rPr>
            </w:pPr>
          </w:p>
          <w:p>
            <w:pPr>
              <w:jc w:val="center"/>
              <w:rPr>
                <w:rFonts w:ascii="宋体" w:hAnsi="宋体"/>
                <w:color w:val="000000" w:themeColor="text1"/>
                <w:szCs w:val="21"/>
                <w14:textFill>
                  <w14:solidFill>
                    <w14:schemeClr w14:val="tx1"/>
                  </w14:solidFill>
                </w14:textFill>
              </w:rPr>
            </w:pPr>
          </w:p>
        </w:tc>
        <w:tc>
          <w:tcPr>
            <w:tcW w:w="1440" w:type="dxa"/>
            <w:vMerge w:val="restart"/>
            <w:tcBorders>
              <w:top w:val="single" w:color="auto" w:sz="4" w:space="0"/>
              <w:left w:val="single" w:color="auto" w:sz="4" w:space="0"/>
              <w:right w:val="single" w:color="auto" w:sz="4" w:space="0"/>
            </w:tcBorders>
          </w:tcPr>
          <w:p>
            <w:pPr>
              <w:jc w:val="center"/>
              <w:rPr>
                <w:rFonts w:ascii="宋体" w:hAnsi="宋体"/>
                <w:color w:val="000000" w:themeColor="text1"/>
                <w:szCs w:val="21"/>
                <w14:textFill>
                  <w14:solidFill>
                    <w14:schemeClr w14:val="tx1"/>
                  </w14:solidFill>
                </w14:textFill>
              </w:rPr>
            </w:pPr>
          </w:p>
          <w:p>
            <w:pPr>
              <w:jc w:val="center"/>
              <w:rPr>
                <w:rFonts w:ascii="宋体" w:hAnsi="宋体"/>
                <w:color w:val="000000" w:themeColor="text1"/>
                <w:szCs w:val="21"/>
                <w14:textFill>
                  <w14:solidFill>
                    <w14:schemeClr w14:val="tx1"/>
                  </w14:solidFill>
                </w14:textFill>
              </w:rPr>
            </w:pPr>
          </w:p>
        </w:tc>
        <w:tc>
          <w:tcPr>
            <w:tcW w:w="823" w:type="dxa"/>
            <w:tcBorders>
              <w:top w:val="single" w:color="auto" w:sz="4" w:space="0"/>
              <w:left w:val="single" w:color="auto" w:sz="4" w:space="0"/>
              <w:right w:val="single" w:color="auto" w:sz="4" w:space="0"/>
            </w:tcBorders>
          </w:tcPr>
          <w:p>
            <w:pPr>
              <w:adjustRightInd w:val="0"/>
              <w:snapToGrid w:val="0"/>
              <w:spacing w:line="360" w:lineRule="exact"/>
              <w:jc w:val="center"/>
              <w:rPr>
                <w:rFonts w:ascii="宋体" w:hAnsi="宋体"/>
                <w:szCs w:val="21"/>
              </w:rPr>
            </w:pPr>
            <w:r>
              <w:rPr>
                <w:rFonts w:hint="eastAsia" w:ascii="宋体" w:hAnsi="宋体"/>
                <w:szCs w:val="21"/>
              </w:rPr>
              <w:t>≥</w:t>
            </w:r>
            <w:r>
              <w:rPr>
                <w:rFonts w:ascii="宋体" w:hAnsi="宋体"/>
                <w:szCs w:val="21"/>
              </w:rPr>
              <w:t>21</w:t>
            </w:r>
          </w:p>
        </w:tc>
        <w:tc>
          <w:tcPr>
            <w:tcW w:w="824" w:type="dxa"/>
            <w:vMerge w:val="restart"/>
            <w:tcBorders>
              <w:top w:val="single" w:color="auto" w:sz="4" w:space="0"/>
              <w:left w:val="single" w:color="auto" w:sz="4" w:space="0"/>
              <w:right w:val="single" w:color="auto" w:sz="4" w:space="0"/>
            </w:tcBorders>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tcBorders>
              <w:top w:val="single" w:color="auto" w:sz="4" w:space="0"/>
              <w:left w:val="single" w:color="auto" w:sz="4" w:space="0"/>
            </w:tcBorders>
          </w:tcPr>
          <w:p>
            <w:pPr>
              <w:adjustRightInd w:val="0"/>
              <w:snapToGrid w:val="0"/>
              <w:spacing w:line="360" w:lineRule="exact"/>
              <w:jc w:val="center"/>
              <w:rPr>
                <w:rFonts w:hint="default" w:ascii="宋体" w:hAnsi="宋体" w:eastAsia="宋体"/>
                <w:szCs w:val="21"/>
                <w:lang w:val="en-US" w:eastAsia="zh-CN"/>
              </w:rPr>
            </w:pPr>
            <w:r>
              <w:rPr>
                <w:rFonts w:ascii="宋体" w:hAnsi="宋体"/>
                <w:szCs w:val="21"/>
              </w:rPr>
              <w:t>16.</w:t>
            </w:r>
            <w:r>
              <w:rPr>
                <w:rFonts w:hint="eastAsia" w:ascii="宋体" w:hAnsi="宋体"/>
                <w:szCs w:val="21"/>
                <w:lang w:val="en-US" w:eastAsia="zh-CN"/>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continue"/>
            <w:tcBorders>
              <w:bottom w:val="single" w:color="auto" w:sz="4" w:space="0"/>
              <w:right w:val="single" w:color="auto" w:sz="4" w:space="0"/>
            </w:tcBorders>
          </w:tcPr>
          <w:p>
            <w:pPr>
              <w:adjustRightInd w:val="0"/>
              <w:snapToGrid w:val="0"/>
              <w:spacing w:line="360" w:lineRule="exact"/>
              <w:jc w:val="center"/>
              <w:rPr>
                <w:rFonts w:ascii="宋体" w:hAnsi="宋体"/>
                <w:b/>
                <w:szCs w:val="21"/>
              </w:rPr>
            </w:pPr>
          </w:p>
        </w:tc>
        <w:tc>
          <w:tcPr>
            <w:tcW w:w="941" w:type="dxa"/>
            <w:tcBorders>
              <w:top w:val="single" w:color="auto" w:sz="4" w:space="0"/>
              <w:bottom w:val="single" w:color="auto" w:sz="4"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szCs w:val="21"/>
              </w:rPr>
              <w:t>专业拓展课</w:t>
            </w:r>
          </w:p>
        </w:tc>
        <w:tc>
          <w:tcPr>
            <w:tcW w:w="1620" w:type="dxa"/>
            <w:vMerge w:val="continue"/>
            <w:tcBorders>
              <w:left w:val="single" w:color="auto" w:sz="4" w:space="0"/>
              <w:bottom w:val="single" w:color="auto" w:sz="4" w:space="0"/>
              <w:right w:val="single" w:color="auto" w:sz="4" w:space="0"/>
            </w:tcBorders>
          </w:tcPr>
          <w:p>
            <w:pPr>
              <w:jc w:val="center"/>
              <w:rPr>
                <w:rFonts w:ascii="宋体" w:hAnsi="宋体"/>
                <w:color w:val="000000" w:themeColor="text1"/>
                <w:szCs w:val="21"/>
                <w14:textFill>
                  <w14:solidFill>
                    <w14:schemeClr w14:val="tx1"/>
                  </w14:solidFill>
                </w14:textFill>
              </w:rPr>
            </w:pPr>
          </w:p>
        </w:tc>
        <w:tc>
          <w:tcPr>
            <w:tcW w:w="1440" w:type="dxa"/>
            <w:vMerge w:val="continue"/>
            <w:tcBorders>
              <w:left w:val="single" w:color="auto" w:sz="4" w:space="0"/>
              <w:bottom w:val="single" w:color="auto" w:sz="4" w:space="0"/>
              <w:right w:val="single" w:color="auto" w:sz="4" w:space="0"/>
            </w:tcBorders>
          </w:tcPr>
          <w:p>
            <w:pPr>
              <w:jc w:val="center"/>
              <w:rPr>
                <w:rFonts w:ascii="宋体" w:hAnsi="宋体"/>
                <w:color w:val="000000" w:themeColor="text1"/>
                <w:szCs w:val="21"/>
                <w14:textFill>
                  <w14:solidFill>
                    <w14:schemeClr w14:val="tx1"/>
                  </w14:solidFill>
                </w14:textFill>
              </w:rPr>
            </w:pPr>
          </w:p>
        </w:tc>
        <w:tc>
          <w:tcPr>
            <w:tcW w:w="823" w:type="dxa"/>
            <w:tcBorders>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Borders>
              <w:left w:val="single" w:color="auto" w:sz="4" w:space="0"/>
              <w:bottom w:val="single" w:color="auto" w:sz="4" w:space="0"/>
              <w:right w:val="single" w:color="auto" w:sz="4" w:space="0"/>
            </w:tcBorders>
          </w:tcPr>
          <w:p>
            <w:pPr>
              <w:adjustRightInd w:val="0"/>
              <w:snapToGrid w:val="0"/>
              <w:spacing w:line="360" w:lineRule="exact"/>
              <w:jc w:val="center"/>
              <w:rPr>
                <w:rFonts w:ascii="宋体" w:hAnsi="宋体"/>
                <w:szCs w:val="21"/>
              </w:rPr>
            </w:pPr>
          </w:p>
        </w:tc>
        <w:tc>
          <w:tcPr>
            <w:tcW w:w="1848" w:type="dxa"/>
            <w:vMerge w:val="continue"/>
            <w:tcBorders>
              <w:left w:val="single" w:color="auto" w:sz="4" w:space="0"/>
              <w:bottom w:val="single" w:color="auto" w:sz="4" w:space="0"/>
            </w:tcBorders>
          </w:tcPr>
          <w:p>
            <w:pPr>
              <w:adjustRightInd w:val="0"/>
              <w:snapToGrid w:val="0"/>
              <w:spacing w:line="360" w:lineRule="exact"/>
              <w:jc w:val="center"/>
              <w:rPr>
                <w:rFonts w:ascii="宋体" w:hAnsi="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12" w:space="0"/>
              <w:right w:val="single" w:color="auto" w:sz="4" w:space="0"/>
            </w:tcBorders>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647" w:type="dxa"/>
            <w:gridSpan w:val="2"/>
            <w:tcBorders>
              <w:top w:val="single" w:color="auto" w:sz="4" w:space="0"/>
              <w:left w:val="single" w:color="auto" w:sz="4" w:space="0"/>
              <w:bottom w:val="single" w:color="auto" w:sz="12" w:space="0"/>
              <w:right w:val="single" w:color="auto" w:sz="4" w:space="0"/>
            </w:tcBorders>
          </w:tcPr>
          <w:p>
            <w:pPr>
              <w:adjustRightInd w:val="0"/>
              <w:snapToGrid w:val="0"/>
              <w:spacing w:line="360" w:lineRule="exact"/>
              <w:jc w:val="center"/>
              <w:rPr>
                <w:rFonts w:hint="default" w:ascii="宋体" w:hAnsi="宋体" w:eastAsia="宋体"/>
                <w:szCs w:val="21"/>
                <w:lang w:val="en-US" w:eastAsia="zh-CN"/>
              </w:rPr>
            </w:pPr>
            <w:r>
              <w:rPr>
                <w:rFonts w:ascii="宋体" w:hAnsi="宋体"/>
                <w:szCs w:val="21"/>
              </w:rPr>
              <w:t>1</w:t>
            </w:r>
            <w:r>
              <w:rPr>
                <w:rFonts w:hint="eastAsia" w:ascii="宋体" w:hAnsi="宋体"/>
                <w:szCs w:val="21"/>
                <w:lang w:val="en-US" w:eastAsia="zh-CN"/>
              </w:rPr>
              <w:t>29</w:t>
            </w:r>
          </w:p>
        </w:tc>
        <w:tc>
          <w:tcPr>
            <w:tcW w:w="1848" w:type="dxa"/>
            <w:tcBorders>
              <w:top w:val="single" w:color="auto" w:sz="4" w:space="0"/>
              <w:left w:val="single" w:color="auto" w:sz="4" w:space="0"/>
              <w:bottom w:val="single" w:color="auto" w:sz="12" w:space="0"/>
            </w:tcBorders>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pStyle w:val="10"/>
        <w:widowControl/>
        <w:numPr>
          <w:ilvl w:val="0"/>
          <w:numId w:val="1"/>
        </w:numPr>
        <w:spacing w:line="360" w:lineRule="auto"/>
        <w:ind w:firstLine="0" w:firstLineChars="0"/>
        <w:jc w:val="center"/>
        <w:rPr>
          <w:rFonts w:ascii="宋体" w:hAnsi="宋体"/>
          <w:b/>
          <w:bCs/>
          <w:kern w:val="0"/>
          <w:sz w:val="24"/>
          <w:szCs w:val="32"/>
        </w:rPr>
      </w:pPr>
    </w:p>
    <w:p>
      <w:pPr>
        <w:pStyle w:val="10"/>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6"/>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adjustRightInd w:val="0"/>
              <w:snapToGrid w:val="0"/>
              <w:spacing w:line="360" w:lineRule="exact"/>
              <w:jc w:val="center"/>
              <w:rPr>
                <w:rFonts w:ascii="宋体" w:hAnsi="宋体"/>
                <w:color w:val="000000"/>
                <w:szCs w:val="21"/>
              </w:rPr>
            </w:pPr>
            <w:r>
              <w:rPr>
                <w:rFonts w:ascii="宋体" w:hAnsi="宋体"/>
                <w:color w:val="000000"/>
                <w:szCs w:val="21"/>
              </w:rPr>
              <w:t>1</w:t>
            </w:r>
          </w:p>
        </w:tc>
        <w:tc>
          <w:tcPr>
            <w:tcW w:w="1191" w:type="dxa"/>
            <w:tcBorders>
              <w:top w:val="single" w:color="auto" w:sz="4" w:space="0"/>
            </w:tcBorders>
          </w:tcPr>
          <w:p>
            <w:pPr>
              <w:adjustRightInd w:val="0"/>
              <w:snapToGrid w:val="0"/>
              <w:spacing w:line="360" w:lineRule="exact"/>
              <w:jc w:val="center"/>
              <w:rPr>
                <w:rFonts w:ascii="宋体" w:hAnsi="宋体"/>
                <w:color w:val="000000"/>
                <w:szCs w:val="21"/>
              </w:rPr>
            </w:pPr>
            <w:r>
              <w:rPr>
                <w:rFonts w:ascii="宋体" w:hAnsi="宋体"/>
                <w:color w:val="000000"/>
                <w:szCs w:val="21"/>
              </w:rPr>
              <w:t>2</w:t>
            </w:r>
          </w:p>
        </w:tc>
        <w:tc>
          <w:tcPr>
            <w:tcW w:w="1092" w:type="dxa"/>
            <w:tcBorders>
              <w:top w:val="single" w:color="auto" w:sz="4" w:space="0"/>
            </w:tcBorders>
          </w:tcPr>
          <w:p>
            <w:pPr>
              <w:adjustRightInd w:val="0"/>
              <w:snapToGrid w:val="0"/>
              <w:spacing w:line="360" w:lineRule="exact"/>
              <w:jc w:val="center"/>
              <w:rPr>
                <w:rFonts w:ascii="宋体" w:hAnsi="宋体"/>
                <w:color w:val="000000"/>
                <w:szCs w:val="21"/>
              </w:rPr>
            </w:pPr>
          </w:p>
        </w:tc>
        <w:tc>
          <w:tcPr>
            <w:tcW w:w="1087" w:type="dxa"/>
            <w:tcBorders>
              <w:top w:val="single" w:color="auto" w:sz="4" w:space="0"/>
            </w:tcBorders>
          </w:tcPr>
          <w:p>
            <w:pPr>
              <w:adjustRightInd w:val="0"/>
              <w:snapToGrid w:val="0"/>
              <w:spacing w:line="360" w:lineRule="exact"/>
              <w:jc w:val="center"/>
              <w:rPr>
                <w:rFonts w:ascii="宋体" w:hAnsi="宋体"/>
                <w:color w:val="000000"/>
                <w:szCs w:val="21"/>
              </w:rPr>
            </w:pPr>
            <w:r>
              <w:rPr>
                <w:rFonts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adjustRightInd w:val="0"/>
              <w:snapToGrid w:val="0"/>
              <w:spacing w:line="360" w:lineRule="exact"/>
              <w:jc w:val="center"/>
              <w:rPr>
                <w:rFonts w:ascii="宋体" w:hAnsi="宋体"/>
                <w:color w:val="000000"/>
                <w:szCs w:val="21"/>
              </w:rPr>
            </w:pPr>
            <w:r>
              <w:rPr>
                <w:rFonts w:ascii="宋体" w:hAnsi="宋体"/>
                <w:color w:val="000000"/>
                <w:szCs w:val="21"/>
              </w:rPr>
              <w:t>4</w:t>
            </w:r>
          </w:p>
        </w:tc>
        <w:tc>
          <w:tcPr>
            <w:tcW w:w="1191" w:type="dxa"/>
          </w:tcPr>
          <w:p>
            <w:pPr>
              <w:adjustRightInd w:val="0"/>
              <w:snapToGrid w:val="0"/>
              <w:spacing w:line="360" w:lineRule="exact"/>
              <w:jc w:val="center"/>
              <w:rPr>
                <w:rFonts w:ascii="宋体" w:hAnsi="宋体"/>
                <w:color w:val="000000"/>
                <w:szCs w:val="21"/>
              </w:rPr>
            </w:pPr>
            <w:r>
              <w:rPr>
                <w:rFonts w:ascii="宋体" w:hAnsi="宋体"/>
                <w:color w:val="000000"/>
                <w:szCs w:val="21"/>
              </w:rPr>
              <w:t>3</w:t>
            </w:r>
          </w:p>
        </w:tc>
        <w:tc>
          <w:tcPr>
            <w:tcW w:w="1092" w:type="dxa"/>
          </w:tcPr>
          <w:p>
            <w:pPr>
              <w:adjustRightInd w:val="0"/>
              <w:snapToGrid w:val="0"/>
              <w:spacing w:line="360" w:lineRule="exact"/>
              <w:jc w:val="center"/>
              <w:rPr>
                <w:rFonts w:ascii="宋体" w:hAnsi="宋体"/>
                <w:color w:val="000000"/>
                <w:szCs w:val="21"/>
              </w:rPr>
            </w:pPr>
          </w:p>
        </w:tc>
        <w:tc>
          <w:tcPr>
            <w:tcW w:w="1087" w:type="dxa"/>
          </w:tcPr>
          <w:p>
            <w:pPr>
              <w:adjustRightInd w:val="0"/>
              <w:snapToGrid w:val="0"/>
              <w:spacing w:line="360" w:lineRule="exact"/>
              <w:jc w:val="center"/>
              <w:rPr>
                <w:rFonts w:ascii="宋体" w:hAnsi="宋体"/>
                <w:color w:val="000000"/>
                <w:szCs w:val="21"/>
              </w:rPr>
            </w:pPr>
            <w:r>
              <w:rPr>
                <w:rFonts w:ascii="宋体" w:hAnsi="宋体"/>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adjustRightInd w:val="0"/>
              <w:snapToGrid w:val="0"/>
              <w:spacing w:line="360" w:lineRule="exact"/>
              <w:jc w:val="center"/>
              <w:rPr>
                <w:rFonts w:ascii="宋体" w:hAnsi="宋体"/>
                <w:color w:val="000000"/>
                <w:szCs w:val="21"/>
              </w:rPr>
            </w:pPr>
            <w:r>
              <w:rPr>
                <w:rFonts w:ascii="宋体" w:hAnsi="宋体"/>
                <w:color w:val="000000"/>
                <w:szCs w:val="21"/>
              </w:rPr>
              <w:t>6</w:t>
            </w:r>
          </w:p>
        </w:tc>
        <w:tc>
          <w:tcPr>
            <w:tcW w:w="1191" w:type="dxa"/>
          </w:tcPr>
          <w:p>
            <w:pPr>
              <w:adjustRightInd w:val="0"/>
              <w:snapToGrid w:val="0"/>
              <w:spacing w:line="360" w:lineRule="exact"/>
              <w:jc w:val="center"/>
              <w:rPr>
                <w:rFonts w:ascii="宋体" w:hAnsi="宋体"/>
                <w:color w:val="000000"/>
                <w:szCs w:val="21"/>
              </w:rPr>
            </w:pPr>
            <w:r>
              <w:rPr>
                <w:rFonts w:ascii="宋体" w:hAnsi="宋体"/>
                <w:color w:val="000000"/>
                <w:szCs w:val="21"/>
              </w:rPr>
              <w:t>3</w:t>
            </w:r>
          </w:p>
        </w:tc>
        <w:tc>
          <w:tcPr>
            <w:tcW w:w="1092" w:type="dxa"/>
          </w:tcPr>
          <w:p>
            <w:pPr>
              <w:adjustRightInd w:val="0"/>
              <w:snapToGrid w:val="0"/>
              <w:spacing w:line="360" w:lineRule="exact"/>
              <w:jc w:val="center"/>
              <w:rPr>
                <w:rFonts w:ascii="宋体" w:hAnsi="宋体"/>
                <w:color w:val="000000"/>
                <w:szCs w:val="21"/>
              </w:rPr>
            </w:pPr>
          </w:p>
        </w:tc>
        <w:tc>
          <w:tcPr>
            <w:tcW w:w="1087" w:type="dxa"/>
          </w:tcPr>
          <w:p>
            <w:pPr>
              <w:adjustRightInd w:val="0"/>
              <w:snapToGrid w:val="0"/>
              <w:spacing w:line="360" w:lineRule="exact"/>
              <w:jc w:val="center"/>
              <w:rPr>
                <w:rFonts w:ascii="宋体" w:hAnsi="宋体"/>
                <w:color w:val="000000"/>
                <w:szCs w:val="21"/>
              </w:rPr>
            </w:pPr>
            <w:r>
              <w:rPr>
                <w:rFonts w:ascii="宋体" w:hAnsi="宋体"/>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adjustRightInd w:val="0"/>
              <w:snapToGrid w:val="0"/>
              <w:spacing w:line="360" w:lineRule="exact"/>
              <w:jc w:val="center"/>
              <w:rPr>
                <w:rFonts w:ascii="宋体" w:hAnsi="宋体"/>
                <w:color w:val="000000"/>
                <w:szCs w:val="21"/>
              </w:rPr>
            </w:pPr>
            <w:r>
              <w:rPr>
                <w:rFonts w:ascii="宋体" w:hAnsi="宋体"/>
                <w:color w:val="000000"/>
                <w:szCs w:val="21"/>
              </w:rPr>
              <w:t>8</w:t>
            </w:r>
          </w:p>
        </w:tc>
        <w:tc>
          <w:tcPr>
            <w:tcW w:w="1191" w:type="dxa"/>
          </w:tcPr>
          <w:p>
            <w:pPr>
              <w:adjustRightInd w:val="0"/>
              <w:snapToGrid w:val="0"/>
              <w:spacing w:line="360" w:lineRule="exact"/>
              <w:jc w:val="center"/>
              <w:rPr>
                <w:rFonts w:ascii="宋体" w:hAnsi="宋体"/>
                <w:color w:val="000000"/>
                <w:szCs w:val="21"/>
              </w:rPr>
            </w:pPr>
            <w:r>
              <w:rPr>
                <w:rFonts w:ascii="宋体" w:hAnsi="宋体"/>
                <w:color w:val="000000"/>
                <w:szCs w:val="21"/>
              </w:rPr>
              <w:t>8</w:t>
            </w:r>
          </w:p>
        </w:tc>
        <w:tc>
          <w:tcPr>
            <w:tcW w:w="1092" w:type="dxa"/>
          </w:tcPr>
          <w:p>
            <w:pPr>
              <w:adjustRightInd w:val="0"/>
              <w:snapToGrid w:val="0"/>
              <w:spacing w:line="360" w:lineRule="exact"/>
              <w:jc w:val="center"/>
              <w:rPr>
                <w:rFonts w:ascii="宋体" w:hAnsi="宋体"/>
                <w:color w:val="000000"/>
                <w:szCs w:val="21"/>
              </w:rPr>
            </w:pPr>
          </w:p>
        </w:tc>
        <w:tc>
          <w:tcPr>
            <w:tcW w:w="1087" w:type="dxa"/>
          </w:tcPr>
          <w:p>
            <w:pPr>
              <w:adjustRightInd w:val="0"/>
              <w:snapToGrid w:val="0"/>
              <w:spacing w:line="360" w:lineRule="exact"/>
              <w:jc w:val="center"/>
              <w:rPr>
                <w:rFonts w:ascii="宋体" w:hAnsi="宋体"/>
                <w:color w:val="000000"/>
                <w:szCs w:val="21"/>
              </w:rPr>
            </w:pPr>
            <w:r>
              <w:rPr>
                <w:rFonts w:ascii="宋体" w:hAnsi="宋体"/>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adjustRightInd w:val="0"/>
              <w:snapToGrid w:val="0"/>
              <w:spacing w:line="360" w:lineRule="exact"/>
              <w:jc w:val="center"/>
              <w:rPr>
                <w:rFonts w:ascii="宋体" w:hAnsi="宋体"/>
                <w:color w:val="000000"/>
                <w:szCs w:val="21"/>
              </w:rPr>
            </w:pPr>
            <w:r>
              <w:rPr>
                <w:rFonts w:ascii="宋体" w:hAnsi="宋体"/>
                <w:color w:val="000000"/>
                <w:szCs w:val="21"/>
              </w:rPr>
              <w:t>8</w:t>
            </w:r>
          </w:p>
        </w:tc>
        <w:tc>
          <w:tcPr>
            <w:tcW w:w="1191" w:type="dxa"/>
          </w:tcPr>
          <w:p>
            <w:pPr>
              <w:adjustRightInd w:val="0"/>
              <w:snapToGrid w:val="0"/>
              <w:spacing w:line="360" w:lineRule="exact"/>
              <w:jc w:val="center"/>
              <w:rPr>
                <w:rFonts w:ascii="宋体" w:hAnsi="宋体"/>
                <w:color w:val="000000"/>
                <w:szCs w:val="21"/>
              </w:rPr>
            </w:pPr>
            <w:r>
              <w:rPr>
                <w:rFonts w:ascii="宋体" w:hAnsi="宋体"/>
                <w:color w:val="000000"/>
                <w:szCs w:val="21"/>
              </w:rPr>
              <w:t xml:space="preserve">8 </w:t>
            </w:r>
          </w:p>
        </w:tc>
        <w:tc>
          <w:tcPr>
            <w:tcW w:w="1092" w:type="dxa"/>
          </w:tcPr>
          <w:p>
            <w:pPr>
              <w:adjustRightInd w:val="0"/>
              <w:snapToGrid w:val="0"/>
              <w:spacing w:line="360" w:lineRule="exact"/>
              <w:jc w:val="center"/>
              <w:rPr>
                <w:rFonts w:ascii="宋体" w:hAnsi="宋体"/>
                <w:color w:val="000000"/>
                <w:szCs w:val="21"/>
              </w:rPr>
            </w:pPr>
          </w:p>
        </w:tc>
        <w:tc>
          <w:tcPr>
            <w:tcW w:w="1087" w:type="dxa"/>
          </w:tcPr>
          <w:p>
            <w:pPr>
              <w:adjustRightInd w:val="0"/>
              <w:snapToGrid w:val="0"/>
              <w:spacing w:line="360" w:lineRule="exact"/>
              <w:jc w:val="center"/>
              <w:rPr>
                <w:rFonts w:ascii="宋体" w:hAnsi="宋体"/>
                <w:color w:val="000000"/>
                <w:szCs w:val="21"/>
              </w:rPr>
            </w:pPr>
            <w:r>
              <w:rPr>
                <w:rFonts w:ascii="宋体" w:hAnsi="宋体"/>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adjustRightInd w:val="0"/>
              <w:snapToGrid w:val="0"/>
              <w:spacing w:line="360" w:lineRule="exact"/>
              <w:jc w:val="center"/>
              <w:rPr>
                <w:rFonts w:ascii="宋体" w:hAnsi="宋体"/>
                <w:color w:val="000000"/>
                <w:szCs w:val="21"/>
              </w:rPr>
            </w:pPr>
          </w:p>
        </w:tc>
        <w:tc>
          <w:tcPr>
            <w:tcW w:w="1191" w:type="dxa"/>
          </w:tcPr>
          <w:p>
            <w:pPr>
              <w:adjustRightInd w:val="0"/>
              <w:snapToGrid w:val="0"/>
              <w:spacing w:line="360" w:lineRule="exact"/>
              <w:jc w:val="center"/>
              <w:rPr>
                <w:rFonts w:ascii="宋体" w:hAnsi="宋体"/>
                <w:color w:val="000000"/>
                <w:szCs w:val="21"/>
              </w:rPr>
            </w:pPr>
          </w:p>
        </w:tc>
        <w:tc>
          <w:tcPr>
            <w:tcW w:w="1092" w:type="dxa"/>
          </w:tcPr>
          <w:p>
            <w:pPr>
              <w:adjustRightInd w:val="0"/>
              <w:snapToGrid w:val="0"/>
              <w:spacing w:line="360" w:lineRule="exact"/>
              <w:jc w:val="center"/>
              <w:rPr>
                <w:rFonts w:ascii="宋体" w:hAnsi="宋体"/>
                <w:color w:val="000000"/>
                <w:szCs w:val="21"/>
              </w:rPr>
            </w:pPr>
          </w:p>
        </w:tc>
        <w:tc>
          <w:tcPr>
            <w:tcW w:w="1087" w:type="dxa"/>
          </w:tcPr>
          <w:p>
            <w:pPr>
              <w:adjustRightInd w:val="0"/>
              <w:snapToGrid w:val="0"/>
              <w:spacing w:line="360" w:lineRule="exact"/>
              <w:jc w:val="center"/>
              <w:rPr>
                <w:rFonts w:ascii="宋体" w:hAnsi="宋体"/>
                <w:color w:val="000000"/>
                <w:szCs w:val="21"/>
              </w:rPr>
            </w:pPr>
            <w:r>
              <w:rPr>
                <w:rFonts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rFonts w:ascii="宋体" w:hAnsi="宋体"/>
                <w:color w:val="000000"/>
                <w:szCs w:val="21"/>
              </w:rPr>
            </w:pPr>
            <w:r>
              <w:rPr>
                <w:rFonts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adjustRightInd w:val="0"/>
              <w:snapToGrid w:val="0"/>
              <w:spacing w:line="360" w:lineRule="exact"/>
              <w:jc w:val="center"/>
              <w:rPr>
                <w:rFonts w:ascii="宋体" w:hAnsi="宋体"/>
                <w:color w:val="000000"/>
                <w:szCs w:val="21"/>
              </w:rPr>
            </w:pPr>
          </w:p>
        </w:tc>
        <w:tc>
          <w:tcPr>
            <w:tcW w:w="1191" w:type="dxa"/>
          </w:tcPr>
          <w:p>
            <w:pPr>
              <w:adjustRightInd w:val="0"/>
              <w:snapToGrid w:val="0"/>
              <w:spacing w:line="360" w:lineRule="exact"/>
              <w:jc w:val="center"/>
              <w:rPr>
                <w:rFonts w:ascii="宋体" w:hAnsi="宋体"/>
                <w:color w:val="000000"/>
                <w:szCs w:val="21"/>
              </w:rPr>
            </w:pPr>
          </w:p>
        </w:tc>
        <w:tc>
          <w:tcPr>
            <w:tcW w:w="1092" w:type="dxa"/>
          </w:tcPr>
          <w:p>
            <w:pPr>
              <w:adjustRightInd w:val="0"/>
              <w:snapToGrid w:val="0"/>
              <w:spacing w:line="360" w:lineRule="exact"/>
              <w:jc w:val="center"/>
              <w:rPr>
                <w:rFonts w:ascii="宋体" w:hAnsi="宋体"/>
                <w:color w:val="000000"/>
                <w:szCs w:val="21"/>
              </w:rPr>
            </w:pPr>
          </w:p>
        </w:tc>
        <w:tc>
          <w:tcPr>
            <w:tcW w:w="1087"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pPr>
              <w:adjustRightInd w:val="0"/>
              <w:snapToGrid w:val="0"/>
              <w:spacing w:line="360" w:lineRule="exact"/>
              <w:jc w:val="center"/>
              <w:rPr>
                <w:rFonts w:ascii="宋体" w:hAnsi="宋体"/>
                <w:color w:val="000000"/>
                <w:szCs w:val="21"/>
              </w:rPr>
            </w:pPr>
          </w:p>
        </w:tc>
        <w:tc>
          <w:tcPr>
            <w:tcW w:w="1191" w:type="dxa"/>
          </w:tcPr>
          <w:p>
            <w:pPr>
              <w:adjustRightInd w:val="0"/>
              <w:snapToGrid w:val="0"/>
              <w:spacing w:line="360" w:lineRule="exact"/>
              <w:jc w:val="center"/>
              <w:rPr>
                <w:rFonts w:ascii="宋体" w:hAnsi="宋体"/>
                <w:color w:val="000000"/>
                <w:szCs w:val="21"/>
              </w:rPr>
            </w:pPr>
          </w:p>
        </w:tc>
        <w:tc>
          <w:tcPr>
            <w:tcW w:w="1092" w:type="dxa"/>
          </w:tcPr>
          <w:p>
            <w:pPr>
              <w:adjustRightInd w:val="0"/>
              <w:snapToGrid w:val="0"/>
              <w:spacing w:line="360" w:lineRule="exact"/>
              <w:jc w:val="center"/>
              <w:rPr>
                <w:rFonts w:ascii="宋体" w:hAnsi="宋体"/>
                <w:color w:val="000000"/>
                <w:szCs w:val="21"/>
              </w:rPr>
            </w:pPr>
          </w:p>
        </w:tc>
        <w:tc>
          <w:tcPr>
            <w:tcW w:w="1087"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1126" w:type="dxa"/>
          </w:tcPr>
          <w:p>
            <w:pPr>
              <w:adjustRightInd w:val="0"/>
              <w:snapToGrid w:val="0"/>
              <w:spacing w:line="360" w:lineRule="exact"/>
              <w:jc w:val="center"/>
              <w:rPr>
                <w:rFonts w:ascii="宋体" w:hAnsi="宋体"/>
                <w:color w:val="000000"/>
                <w:szCs w:val="21"/>
              </w:rPr>
            </w:pPr>
          </w:p>
        </w:tc>
        <w:tc>
          <w:tcPr>
            <w:tcW w:w="1191" w:type="dxa"/>
          </w:tcPr>
          <w:p>
            <w:pPr>
              <w:adjustRightInd w:val="0"/>
              <w:snapToGrid w:val="0"/>
              <w:spacing w:line="360" w:lineRule="exact"/>
              <w:jc w:val="center"/>
              <w:rPr>
                <w:rFonts w:ascii="宋体" w:hAnsi="宋体"/>
                <w:color w:val="000000"/>
                <w:szCs w:val="21"/>
              </w:rPr>
            </w:pPr>
          </w:p>
        </w:tc>
        <w:tc>
          <w:tcPr>
            <w:tcW w:w="1092" w:type="dxa"/>
          </w:tcPr>
          <w:p>
            <w:pPr>
              <w:adjustRightInd w:val="0"/>
              <w:snapToGrid w:val="0"/>
              <w:spacing w:line="360" w:lineRule="exact"/>
              <w:jc w:val="center"/>
              <w:rPr>
                <w:rFonts w:ascii="宋体" w:hAnsi="宋体"/>
                <w:color w:val="000000"/>
                <w:szCs w:val="21"/>
              </w:rPr>
            </w:pPr>
          </w:p>
        </w:tc>
        <w:tc>
          <w:tcPr>
            <w:tcW w:w="1087"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rFonts w:ascii="宋体" w:hAnsi="宋体"/>
                <w:color w:val="000000"/>
                <w:szCs w:val="21"/>
              </w:rPr>
            </w:pPr>
          </w:p>
        </w:tc>
        <w:tc>
          <w:tcPr>
            <w:tcW w:w="1092" w:type="dxa"/>
            <w:vAlign w:val="bottom"/>
          </w:tcPr>
          <w:p>
            <w:pPr>
              <w:jc w:val="center"/>
              <w:rPr>
                <w:rFonts w:ascii="宋体" w:hAnsi="宋体"/>
                <w:color w:val="000000"/>
                <w:szCs w:val="21"/>
              </w:rPr>
            </w:pPr>
          </w:p>
        </w:tc>
        <w:tc>
          <w:tcPr>
            <w:tcW w:w="1087" w:type="dxa"/>
            <w:vAlign w:val="bottom"/>
          </w:tcPr>
          <w:p>
            <w:pPr>
              <w:keepNext w:val="0"/>
              <w:keepLines w:val="0"/>
              <w:widowControl/>
              <w:suppressLineNumbers w:val="0"/>
              <w:jc w:val="center"/>
              <w:textAlignment w:val="bottom"/>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rFonts w:ascii="宋体" w:hAnsi="宋体"/>
                <w:color w:val="000000"/>
                <w:szCs w:val="21"/>
              </w:rPr>
            </w:pPr>
          </w:p>
        </w:tc>
        <w:tc>
          <w:tcPr>
            <w:tcW w:w="1092" w:type="dxa"/>
            <w:vAlign w:val="top"/>
          </w:tcPr>
          <w:p>
            <w:pPr>
              <w:jc w:val="center"/>
              <w:rPr>
                <w:rFonts w:ascii="宋体" w:hAnsi="宋体"/>
                <w:color w:val="000000"/>
                <w:szCs w:val="21"/>
              </w:rPr>
            </w:pPr>
          </w:p>
        </w:tc>
        <w:tc>
          <w:tcPr>
            <w:tcW w:w="1087" w:type="dxa"/>
            <w:vAlign w:val="top"/>
          </w:tcPr>
          <w:p>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rFonts w:ascii="宋体" w:hAnsi="宋体"/>
                <w:color w:val="000000"/>
                <w:szCs w:val="21"/>
              </w:rPr>
            </w:pPr>
          </w:p>
        </w:tc>
        <w:tc>
          <w:tcPr>
            <w:tcW w:w="1092" w:type="dxa"/>
            <w:vAlign w:val="top"/>
          </w:tcPr>
          <w:p>
            <w:pPr>
              <w:jc w:val="center"/>
              <w:rPr>
                <w:rFonts w:ascii="宋体" w:hAnsi="宋体"/>
                <w:color w:val="000000"/>
                <w:szCs w:val="21"/>
              </w:rPr>
            </w:pPr>
          </w:p>
        </w:tc>
        <w:tc>
          <w:tcPr>
            <w:tcW w:w="1087" w:type="dxa"/>
            <w:vAlign w:val="top"/>
          </w:tcPr>
          <w:p>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rFonts w:ascii="宋体" w:hAnsi="宋体"/>
                <w:color w:val="000000"/>
                <w:szCs w:val="21"/>
              </w:rPr>
            </w:pPr>
          </w:p>
        </w:tc>
        <w:tc>
          <w:tcPr>
            <w:tcW w:w="1092" w:type="dxa"/>
            <w:vAlign w:val="top"/>
          </w:tcPr>
          <w:p>
            <w:pPr>
              <w:jc w:val="center"/>
              <w:rPr>
                <w:rFonts w:ascii="宋体" w:hAnsi="宋体"/>
                <w:color w:val="000000"/>
                <w:szCs w:val="21"/>
              </w:rPr>
            </w:pPr>
          </w:p>
        </w:tc>
        <w:tc>
          <w:tcPr>
            <w:tcW w:w="1087" w:type="dxa"/>
            <w:vAlign w:val="top"/>
          </w:tcPr>
          <w:p>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rFonts w:ascii="宋体" w:hAnsi="宋体"/>
                <w:color w:val="000000"/>
                <w:szCs w:val="21"/>
              </w:rPr>
            </w:pPr>
          </w:p>
        </w:tc>
        <w:tc>
          <w:tcPr>
            <w:tcW w:w="1191" w:type="dxa"/>
            <w:vAlign w:val="bottom"/>
          </w:tcPr>
          <w:p>
            <w:pPr>
              <w:jc w:val="center"/>
              <w:rPr>
                <w:rFonts w:ascii="宋体" w:hAnsi="宋体"/>
                <w:color w:val="000000"/>
                <w:szCs w:val="21"/>
              </w:rPr>
            </w:pPr>
          </w:p>
        </w:tc>
        <w:tc>
          <w:tcPr>
            <w:tcW w:w="1092" w:type="dxa"/>
            <w:vAlign w:val="bottom"/>
          </w:tcPr>
          <w:p>
            <w:pPr>
              <w:jc w:val="center"/>
              <w:rPr>
                <w:rFonts w:ascii="宋体" w:hAnsi="宋体"/>
                <w:color w:val="000000"/>
                <w:szCs w:val="21"/>
              </w:rPr>
            </w:pPr>
          </w:p>
        </w:tc>
        <w:tc>
          <w:tcPr>
            <w:tcW w:w="1087" w:type="dxa"/>
            <w:vAlign w:val="bottom"/>
          </w:tcPr>
          <w:p>
            <w:pPr>
              <w:keepNext w:val="0"/>
              <w:keepLines w:val="0"/>
              <w:widowControl/>
              <w:suppressLineNumbers w:val="0"/>
              <w:jc w:val="center"/>
              <w:textAlignment w:val="bottom"/>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vAlign w:val="center"/>
          </w:tcPr>
          <w:p>
            <w:pPr>
              <w:rPr>
                <w:rFonts w:ascii="宋体" w:hAnsi="宋体"/>
                <w:color w:val="000000"/>
                <w:szCs w:val="21"/>
              </w:rPr>
            </w:pPr>
            <w:r>
              <w:rPr>
                <w:rFonts w:hint="eastAsia" w:ascii="宋体" w:hAnsi="宋体"/>
                <w:color w:val="000000"/>
                <w:szCs w:val="21"/>
              </w:rPr>
              <w:t>劳动类实践课程</w:t>
            </w:r>
          </w:p>
        </w:tc>
        <w:tc>
          <w:tcPr>
            <w:tcW w:w="1126" w:type="dxa"/>
          </w:tcPr>
          <w:p>
            <w:pPr>
              <w:adjustRightInd w:val="0"/>
              <w:snapToGrid w:val="0"/>
              <w:spacing w:line="360" w:lineRule="exact"/>
              <w:jc w:val="center"/>
              <w:rPr>
                <w:rFonts w:ascii="宋体" w:hAnsi="宋体"/>
                <w:szCs w:val="21"/>
              </w:rPr>
            </w:pP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vAlign w:val="center"/>
          </w:tcPr>
          <w:p>
            <w:pPr>
              <w:rPr>
                <w:rFonts w:ascii="宋体" w:hAnsi="宋体"/>
                <w:color w:val="000000"/>
                <w:szCs w:val="21"/>
              </w:rPr>
            </w:pPr>
            <w:r>
              <w:rPr>
                <w:rFonts w:hint="eastAsia" w:ascii="宋体" w:hAnsi="宋体"/>
                <w:color w:val="000000"/>
                <w:szCs w:val="21"/>
              </w:rPr>
              <w:t>计算机应用</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1</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16</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rPr>
                <w:rFonts w:ascii="宋体" w:hAnsi="宋体"/>
                <w:color w:val="000000"/>
                <w:szCs w:val="21"/>
              </w:rPr>
            </w:pPr>
            <w:r>
              <w:rPr>
                <w:rFonts w:hint="eastAsia" w:ascii="宋体" w:hAnsi="宋体"/>
                <w:color w:val="000000"/>
                <w:szCs w:val="21"/>
              </w:rPr>
              <w:t>数据库应用</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2</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16</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rPr>
                <w:rFonts w:ascii="宋体" w:hAnsi="宋体"/>
                <w:color w:val="000000"/>
                <w:szCs w:val="21"/>
              </w:rPr>
            </w:pPr>
            <w:r>
              <w:rPr>
                <w:rFonts w:hint="eastAsia" w:ascii="宋体" w:hAnsi="宋体"/>
                <w:color w:val="000000"/>
                <w:szCs w:val="21"/>
              </w:rPr>
              <w:t>机电设备评估基础</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7</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16</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rPr>
                <w:rFonts w:ascii="宋体" w:hAnsi="宋体"/>
                <w:color w:val="000000"/>
                <w:szCs w:val="21"/>
              </w:rPr>
            </w:pPr>
            <w:r>
              <w:rPr>
                <w:rFonts w:hint="eastAsia" w:ascii="宋体" w:hAnsi="宋体"/>
                <w:color w:val="000000"/>
                <w:szCs w:val="21"/>
              </w:rPr>
              <w:t>企业价值评估</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6</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16</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rPr>
                <w:rFonts w:ascii="宋体" w:hAnsi="宋体"/>
                <w:color w:val="000000"/>
                <w:szCs w:val="21"/>
              </w:rPr>
            </w:pPr>
            <w:r>
              <w:rPr>
                <w:rFonts w:hint="eastAsia" w:ascii="宋体" w:hAnsi="宋体"/>
                <w:color w:val="000000"/>
                <w:szCs w:val="21"/>
              </w:rPr>
              <w:t>资产评估实务与案例分析</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7</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32</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rPr>
                <w:rFonts w:ascii="宋体" w:hAnsi="宋体"/>
                <w:color w:val="000000"/>
                <w:szCs w:val="21"/>
              </w:rPr>
            </w:pPr>
            <w:r>
              <w:rPr>
                <w:rFonts w:hint="eastAsia" w:ascii="宋体" w:hAnsi="宋体"/>
                <w:color w:val="000000"/>
                <w:szCs w:val="21"/>
              </w:rPr>
              <w:t>资产评估专业综合实验</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6</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32</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vAlign w:val="center"/>
          </w:tcPr>
          <w:p>
            <w:pPr>
              <w:rPr>
                <w:rFonts w:ascii="宋体" w:hAnsi="宋体"/>
                <w:color w:val="000000"/>
                <w:szCs w:val="21"/>
              </w:rPr>
            </w:pPr>
            <w:r>
              <w:rPr>
                <w:rFonts w:hint="eastAsia" w:ascii="宋体" w:hAnsi="宋体"/>
                <w:color w:val="000000"/>
                <w:szCs w:val="21"/>
              </w:rPr>
              <w:t>企业经济行为模拟</w:t>
            </w:r>
          </w:p>
        </w:tc>
        <w:tc>
          <w:tcPr>
            <w:tcW w:w="1126" w:type="dxa"/>
          </w:tcPr>
          <w:p>
            <w:pPr>
              <w:adjustRightInd w:val="0"/>
              <w:snapToGrid w:val="0"/>
              <w:spacing w:line="360" w:lineRule="exact"/>
              <w:jc w:val="center"/>
              <w:rPr>
                <w:rFonts w:ascii="宋体" w:hAnsi="宋体"/>
                <w:szCs w:val="21"/>
              </w:rPr>
            </w:pPr>
            <w:r>
              <w:rPr>
                <w:rFonts w:hint="eastAsia" w:ascii="宋体" w:hAnsi="宋体"/>
                <w:szCs w:val="21"/>
              </w:rPr>
              <w:t>5</w:t>
            </w:r>
          </w:p>
        </w:tc>
        <w:tc>
          <w:tcPr>
            <w:tcW w:w="1191" w:type="dxa"/>
          </w:tcPr>
          <w:p>
            <w:pPr>
              <w:adjustRightInd w:val="0"/>
              <w:snapToGrid w:val="0"/>
              <w:spacing w:line="360" w:lineRule="exact"/>
              <w:jc w:val="center"/>
              <w:rPr>
                <w:rFonts w:ascii="宋体" w:hAnsi="宋体"/>
                <w:color w:val="000000"/>
                <w:szCs w:val="21"/>
              </w:rPr>
            </w:pPr>
          </w:p>
        </w:tc>
        <w:tc>
          <w:tcPr>
            <w:tcW w:w="1092" w:type="dxa"/>
            <w:vAlign w:val="center"/>
          </w:tcPr>
          <w:p>
            <w:pPr>
              <w:adjustRightInd w:val="0"/>
              <w:snapToGrid w:val="0"/>
              <w:spacing w:line="360" w:lineRule="exact"/>
              <w:jc w:val="center"/>
              <w:rPr>
                <w:rFonts w:ascii="宋体" w:hAnsi="宋体"/>
                <w:color w:val="000000"/>
                <w:szCs w:val="21"/>
              </w:rPr>
            </w:pPr>
            <w:r>
              <w:rPr>
                <w:rFonts w:ascii="宋体" w:hAnsi="宋体"/>
                <w:color w:val="000000"/>
                <w:szCs w:val="21"/>
              </w:rPr>
              <w:t>32</w:t>
            </w:r>
          </w:p>
        </w:tc>
        <w:tc>
          <w:tcPr>
            <w:tcW w:w="1087" w:type="dxa"/>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adjustRightInd w:val="0"/>
              <w:snapToGrid w:val="0"/>
              <w:spacing w:line="360" w:lineRule="exact"/>
              <w:jc w:val="center"/>
              <w:rPr>
                <w:rFonts w:ascii="宋体" w:hAnsi="宋体"/>
                <w:b/>
                <w:color w:val="000000"/>
                <w:szCs w:val="21"/>
              </w:rPr>
            </w:pPr>
          </w:p>
        </w:tc>
        <w:tc>
          <w:tcPr>
            <w:tcW w:w="1191" w:type="dxa"/>
          </w:tcPr>
          <w:p>
            <w:pPr>
              <w:adjustRightInd w:val="0"/>
              <w:snapToGrid w:val="0"/>
              <w:spacing w:line="360" w:lineRule="exact"/>
              <w:jc w:val="center"/>
              <w:rPr>
                <w:rFonts w:ascii="宋体" w:hAnsi="宋体"/>
                <w:b/>
                <w:color w:val="000000"/>
                <w:szCs w:val="21"/>
              </w:rPr>
            </w:pPr>
          </w:p>
        </w:tc>
        <w:tc>
          <w:tcPr>
            <w:tcW w:w="1092" w:type="dxa"/>
          </w:tcPr>
          <w:p>
            <w:pPr>
              <w:adjustRightInd w:val="0"/>
              <w:snapToGrid w:val="0"/>
              <w:spacing w:line="360" w:lineRule="exact"/>
              <w:jc w:val="center"/>
              <w:rPr>
                <w:rFonts w:ascii="宋体" w:hAnsi="宋体"/>
                <w:color w:val="000000"/>
                <w:szCs w:val="21"/>
              </w:rPr>
            </w:pPr>
          </w:p>
        </w:tc>
        <w:tc>
          <w:tcPr>
            <w:tcW w:w="1087" w:type="dxa"/>
          </w:tcPr>
          <w:p>
            <w:pPr>
              <w:adjustRightInd w:val="0"/>
              <w:snapToGrid w:val="0"/>
              <w:spacing w:line="360" w:lineRule="exact"/>
              <w:jc w:val="center"/>
              <w:rPr>
                <w:rFonts w:hint="eastAsia" w:ascii="宋体" w:hAnsi="宋体" w:eastAsia="宋体"/>
                <w:color w:val="000000"/>
                <w:szCs w:val="21"/>
                <w:lang w:eastAsia="zh-CN"/>
              </w:rPr>
            </w:pPr>
            <w:r>
              <w:rPr>
                <w:rFonts w:ascii="宋体" w:hAnsi="宋体"/>
                <w:color w:val="000000"/>
                <w:szCs w:val="21"/>
              </w:rPr>
              <w:t>3</w:t>
            </w:r>
            <w:r>
              <w:rPr>
                <w:rFonts w:hint="eastAsia" w:ascii="宋体" w:hAnsi="宋体"/>
                <w:color w:val="000000"/>
                <w:szCs w:val="21"/>
                <w:lang w:val="en-US" w:eastAsia="zh-CN"/>
              </w:rPr>
              <w:t>8</w:t>
            </w:r>
          </w:p>
        </w:tc>
      </w:tr>
    </w:tbl>
    <w:p>
      <w:pPr>
        <w:pStyle w:val="10"/>
        <w:widowControl/>
        <w:spacing w:before="312" w:beforeLines="100" w:line="360" w:lineRule="auto"/>
        <w:ind w:left="420" w:firstLine="0" w:firstLineChars="0"/>
        <w:jc w:val="left"/>
        <w:rPr>
          <w:szCs w:val="32"/>
        </w:rPr>
      </w:pPr>
      <w:r>
        <w:rPr>
          <w:rFonts w:hint="eastAsia" w:ascii="宋体" w:hAnsi="宋体"/>
          <w:b/>
          <w:bCs/>
          <w:kern w:val="0"/>
          <w:sz w:val="24"/>
          <w:szCs w:val="32"/>
        </w:rPr>
        <w:t>七、本科学分制指导性教学计划表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FF7D5E"/>
    <w:rsid w:val="00027C86"/>
    <w:rsid w:val="00041E53"/>
    <w:rsid w:val="000711D0"/>
    <w:rsid w:val="00096F30"/>
    <w:rsid w:val="000A3E09"/>
    <w:rsid w:val="000A6E47"/>
    <w:rsid w:val="000C6DAD"/>
    <w:rsid w:val="000D0128"/>
    <w:rsid w:val="000D7F2D"/>
    <w:rsid w:val="000E347B"/>
    <w:rsid w:val="00122FE0"/>
    <w:rsid w:val="00132656"/>
    <w:rsid w:val="00140A09"/>
    <w:rsid w:val="001970FC"/>
    <w:rsid w:val="001B1B8B"/>
    <w:rsid w:val="001E6999"/>
    <w:rsid w:val="001F38AD"/>
    <w:rsid w:val="001F7A6A"/>
    <w:rsid w:val="00273087"/>
    <w:rsid w:val="00291471"/>
    <w:rsid w:val="00296F83"/>
    <w:rsid w:val="002A6940"/>
    <w:rsid w:val="002D040C"/>
    <w:rsid w:val="002E6183"/>
    <w:rsid w:val="00300D75"/>
    <w:rsid w:val="00324362"/>
    <w:rsid w:val="0034217D"/>
    <w:rsid w:val="00360333"/>
    <w:rsid w:val="00361EF2"/>
    <w:rsid w:val="00362BBB"/>
    <w:rsid w:val="00397915"/>
    <w:rsid w:val="003B02A7"/>
    <w:rsid w:val="003F7BBE"/>
    <w:rsid w:val="004127CB"/>
    <w:rsid w:val="00416561"/>
    <w:rsid w:val="00435822"/>
    <w:rsid w:val="00443591"/>
    <w:rsid w:val="00451FF3"/>
    <w:rsid w:val="0046090B"/>
    <w:rsid w:val="00474970"/>
    <w:rsid w:val="00491A56"/>
    <w:rsid w:val="004934BE"/>
    <w:rsid w:val="004A31FF"/>
    <w:rsid w:val="004A7AC8"/>
    <w:rsid w:val="004B4B2C"/>
    <w:rsid w:val="004F0F84"/>
    <w:rsid w:val="0052360A"/>
    <w:rsid w:val="00536217"/>
    <w:rsid w:val="005529A2"/>
    <w:rsid w:val="00604F30"/>
    <w:rsid w:val="006133C2"/>
    <w:rsid w:val="00636C41"/>
    <w:rsid w:val="0068126F"/>
    <w:rsid w:val="00684894"/>
    <w:rsid w:val="00692654"/>
    <w:rsid w:val="006959EC"/>
    <w:rsid w:val="006A310E"/>
    <w:rsid w:val="006B0E59"/>
    <w:rsid w:val="006D34CD"/>
    <w:rsid w:val="007028C4"/>
    <w:rsid w:val="0072434E"/>
    <w:rsid w:val="007623E1"/>
    <w:rsid w:val="00766E87"/>
    <w:rsid w:val="007723FD"/>
    <w:rsid w:val="00775E75"/>
    <w:rsid w:val="00782E41"/>
    <w:rsid w:val="00792B81"/>
    <w:rsid w:val="007A348B"/>
    <w:rsid w:val="0080739B"/>
    <w:rsid w:val="00823686"/>
    <w:rsid w:val="00823BC4"/>
    <w:rsid w:val="0083517A"/>
    <w:rsid w:val="0084681C"/>
    <w:rsid w:val="00870B4D"/>
    <w:rsid w:val="00880D96"/>
    <w:rsid w:val="008A3485"/>
    <w:rsid w:val="008B2D1C"/>
    <w:rsid w:val="008B3522"/>
    <w:rsid w:val="008B3BB5"/>
    <w:rsid w:val="008C2652"/>
    <w:rsid w:val="008E62BE"/>
    <w:rsid w:val="00900EB9"/>
    <w:rsid w:val="00902D79"/>
    <w:rsid w:val="00905C3F"/>
    <w:rsid w:val="0092055E"/>
    <w:rsid w:val="00923E8B"/>
    <w:rsid w:val="00944E81"/>
    <w:rsid w:val="00970A5F"/>
    <w:rsid w:val="0099185A"/>
    <w:rsid w:val="009A18E7"/>
    <w:rsid w:val="009D4632"/>
    <w:rsid w:val="00A05B0B"/>
    <w:rsid w:val="00A05C2E"/>
    <w:rsid w:val="00A06B7F"/>
    <w:rsid w:val="00A427D4"/>
    <w:rsid w:val="00A70075"/>
    <w:rsid w:val="00AA70D2"/>
    <w:rsid w:val="00AC2858"/>
    <w:rsid w:val="00AC5EA5"/>
    <w:rsid w:val="00AD54EF"/>
    <w:rsid w:val="00B01684"/>
    <w:rsid w:val="00B02DC1"/>
    <w:rsid w:val="00B22CA0"/>
    <w:rsid w:val="00B363A9"/>
    <w:rsid w:val="00B759F5"/>
    <w:rsid w:val="00B81E37"/>
    <w:rsid w:val="00B90BA6"/>
    <w:rsid w:val="00B93668"/>
    <w:rsid w:val="00BA2230"/>
    <w:rsid w:val="00BA2A46"/>
    <w:rsid w:val="00BB4780"/>
    <w:rsid w:val="00BC02C1"/>
    <w:rsid w:val="00BF7FCA"/>
    <w:rsid w:val="00C00A86"/>
    <w:rsid w:val="00C1226C"/>
    <w:rsid w:val="00C65564"/>
    <w:rsid w:val="00C825D9"/>
    <w:rsid w:val="00C858A9"/>
    <w:rsid w:val="00C85A20"/>
    <w:rsid w:val="00CB31A8"/>
    <w:rsid w:val="00CC1C1C"/>
    <w:rsid w:val="00CD44E6"/>
    <w:rsid w:val="00CF086A"/>
    <w:rsid w:val="00CF1550"/>
    <w:rsid w:val="00CF1996"/>
    <w:rsid w:val="00D14735"/>
    <w:rsid w:val="00D24EEB"/>
    <w:rsid w:val="00D41F6A"/>
    <w:rsid w:val="00D51B4C"/>
    <w:rsid w:val="00D5488E"/>
    <w:rsid w:val="00D704D0"/>
    <w:rsid w:val="00DC0B63"/>
    <w:rsid w:val="00DC5C50"/>
    <w:rsid w:val="00DE6DD1"/>
    <w:rsid w:val="00E2215A"/>
    <w:rsid w:val="00E46004"/>
    <w:rsid w:val="00E46E90"/>
    <w:rsid w:val="00E54E86"/>
    <w:rsid w:val="00E6796F"/>
    <w:rsid w:val="00E73982"/>
    <w:rsid w:val="00E8378D"/>
    <w:rsid w:val="00E839F8"/>
    <w:rsid w:val="00E942E1"/>
    <w:rsid w:val="00EB3AC1"/>
    <w:rsid w:val="00ED6F38"/>
    <w:rsid w:val="00EF3C8F"/>
    <w:rsid w:val="00EF4D74"/>
    <w:rsid w:val="00F24301"/>
    <w:rsid w:val="00F25932"/>
    <w:rsid w:val="00F4376C"/>
    <w:rsid w:val="00F67B8F"/>
    <w:rsid w:val="00F77243"/>
    <w:rsid w:val="00F9691B"/>
    <w:rsid w:val="00FA57F8"/>
    <w:rsid w:val="00FC30CA"/>
    <w:rsid w:val="00FC33CE"/>
    <w:rsid w:val="00FC3550"/>
    <w:rsid w:val="00FF333B"/>
    <w:rsid w:val="00FF7D5E"/>
    <w:rsid w:val="224F3F89"/>
    <w:rsid w:val="6B9B1AC0"/>
    <w:rsid w:val="7B4A7998"/>
    <w:rsid w:val="FFFFB6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240" w:after="240"/>
      <w:jc w:val="left"/>
    </w:pPr>
    <w:rPr>
      <w:rFonts w:ascii="宋体" w:hAnsi="宋体" w:cs="宋体"/>
      <w:kern w:val="0"/>
      <w:sz w:val="24"/>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paragraph" w:customStyle="1" w:styleId="10">
    <w:name w:val="列表段落1"/>
    <w:basedOn w:val="1"/>
    <w:qFormat/>
    <w:uiPriority w:val="99"/>
    <w:pPr>
      <w:ind w:firstLine="420" w:firstLineChars="200"/>
    </w:pPr>
    <w:rPr>
      <w:szCs w:val="21"/>
    </w:rPr>
  </w:style>
  <w:style w:type="character" w:customStyle="1" w:styleId="11">
    <w:name w:val="页眉 字符"/>
    <w:basedOn w:val="7"/>
    <w:link w:val="4"/>
    <w:qFormat/>
    <w:uiPriority w:val="99"/>
    <w:rPr>
      <w:rFonts w:ascii="Times New Roman" w:hAnsi="Times New Roman" w:eastAsia="宋体" w:cs="Times New Roman"/>
      <w:sz w:val="18"/>
      <w:szCs w:val="18"/>
    </w:rPr>
  </w:style>
  <w:style w:type="character" w:customStyle="1" w:styleId="12">
    <w:name w:val="页脚 字符"/>
    <w:basedOn w:val="7"/>
    <w:link w:val="3"/>
    <w:qFormat/>
    <w:uiPriority w:val="99"/>
    <w:rPr>
      <w:rFonts w:ascii="Times New Roman" w:hAnsi="Times New Roman" w:eastAsia="宋体" w:cs="Times New Roman"/>
      <w:sz w:val="18"/>
      <w:szCs w:val="18"/>
    </w:rPr>
  </w:style>
  <w:style w:type="character" w:customStyle="1" w:styleId="13">
    <w:name w:val="批注框文本 字符"/>
    <w:basedOn w:val="7"/>
    <w:link w:val="2"/>
    <w:semiHidden/>
    <w:qFormat/>
    <w:uiPriority w:val="99"/>
    <w:rPr>
      <w:rFonts w:ascii="Times New Roman" w:hAnsi="Times New Roman" w:eastAsia="宋体" w:cs="Times New Roman"/>
      <w:sz w:val="18"/>
      <w:szCs w:val="18"/>
    </w:rPr>
  </w:style>
  <w:style w:type="paragraph" w:customStyle="1" w:styleId="1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8"/>
    <w:basedOn w:val="1"/>
    <w:qFormat/>
    <w:uiPriority w:val="0"/>
    <w:pPr>
      <w:widowControl/>
      <w:spacing w:before="100" w:beforeAutospacing="1" w:after="100" w:afterAutospacing="1"/>
      <w:jc w:val="left"/>
    </w:pPr>
    <w:rPr>
      <w:color w:val="000000"/>
      <w:kern w:val="0"/>
      <w:sz w:val="18"/>
      <w:szCs w:val="18"/>
    </w:rPr>
  </w:style>
  <w:style w:type="paragraph" w:customStyle="1" w:styleId="18">
    <w:name w:val="font9"/>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9">
    <w:name w:val="font10"/>
    <w:basedOn w:val="1"/>
    <w:qFormat/>
    <w:uiPriority w:val="0"/>
    <w:pPr>
      <w:widowControl/>
      <w:spacing w:before="100" w:beforeAutospacing="1" w:after="100" w:afterAutospacing="1"/>
      <w:jc w:val="left"/>
    </w:pPr>
    <w:rPr>
      <w:kern w:val="0"/>
      <w:sz w:val="18"/>
      <w:szCs w:val="18"/>
    </w:rPr>
  </w:style>
  <w:style w:type="paragraph" w:customStyle="1" w:styleId="20">
    <w:name w:val="font11"/>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1">
    <w:name w:val="font12"/>
    <w:basedOn w:val="1"/>
    <w:qFormat/>
    <w:uiPriority w:val="0"/>
    <w:pPr>
      <w:widowControl/>
      <w:spacing w:before="100" w:beforeAutospacing="1" w:after="100" w:afterAutospacing="1"/>
      <w:jc w:val="left"/>
    </w:pPr>
    <w:rPr>
      <w:color w:val="000000"/>
      <w:kern w:val="0"/>
      <w:sz w:val="18"/>
      <w:szCs w:val="18"/>
    </w:rPr>
  </w:style>
  <w:style w:type="paragraph" w:customStyle="1" w:styleId="22">
    <w:name w:val="font13"/>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3">
    <w:name w:val="font14"/>
    <w:basedOn w:val="1"/>
    <w:qFormat/>
    <w:uiPriority w:val="0"/>
    <w:pPr>
      <w:widowControl/>
      <w:spacing w:before="100" w:beforeAutospacing="1" w:after="100" w:afterAutospacing="1"/>
      <w:jc w:val="left"/>
    </w:pPr>
    <w:rPr>
      <w:color w:val="000000"/>
      <w:kern w:val="0"/>
      <w:sz w:val="18"/>
      <w:szCs w:val="18"/>
    </w:rPr>
  </w:style>
  <w:style w:type="paragraph" w:customStyle="1" w:styleId="24">
    <w:name w:val="font15"/>
    <w:basedOn w:val="1"/>
    <w:qFormat/>
    <w:uiPriority w:val="0"/>
    <w:pPr>
      <w:widowControl/>
      <w:spacing w:before="100" w:beforeAutospacing="1" w:after="100" w:afterAutospacing="1"/>
      <w:jc w:val="left"/>
    </w:pPr>
    <w:rPr>
      <w:color w:val="FF0000"/>
      <w:kern w:val="0"/>
      <w:sz w:val="18"/>
      <w:szCs w:val="18"/>
    </w:rPr>
  </w:style>
  <w:style w:type="paragraph" w:customStyle="1" w:styleId="25">
    <w:name w:val="font16"/>
    <w:basedOn w:val="1"/>
    <w:qFormat/>
    <w:uiPriority w:val="0"/>
    <w:pPr>
      <w:widowControl/>
      <w:spacing w:before="100" w:beforeAutospacing="1" w:after="100" w:afterAutospacing="1"/>
      <w:jc w:val="left"/>
    </w:pPr>
    <w:rPr>
      <w:b/>
      <w:bCs/>
      <w:color w:val="000000"/>
      <w:kern w:val="0"/>
      <w:sz w:val="18"/>
      <w:szCs w:val="18"/>
    </w:rPr>
  </w:style>
  <w:style w:type="paragraph" w:customStyle="1" w:styleId="26">
    <w:name w:val="font17"/>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27">
    <w:name w:val="font1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8">
    <w:name w:val="xl65"/>
    <w:basedOn w:val="1"/>
    <w:qFormat/>
    <w:uiPriority w:val="0"/>
    <w:pPr>
      <w:widowControl/>
      <w:spacing w:before="100" w:beforeAutospacing="1" w:after="100" w:afterAutospacing="1"/>
      <w:jc w:val="center"/>
    </w:pPr>
    <w:rPr>
      <w:kern w:val="0"/>
      <w:sz w:val="16"/>
      <w:szCs w:val="16"/>
    </w:rPr>
  </w:style>
  <w:style w:type="paragraph" w:customStyle="1" w:styleId="29">
    <w:name w:val="xl66"/>
    <w:basedOn w:val="1"/>
    <w:qFormat/>
    <w:uiPriority w:val="0"/>
    <w:pPr>
      <w:widowControl/>
      <w:spacing w:before="100" w:beforeAutospacing="1" w:after="100" w:afterAutospacing="1"/>
      <w:jc w:val="left"/>
    </w:pPr>
    <w:rPr>
      <w:kern w:val="0"/>
      <w:sz w:val="16"/>
      <w:szCs w:val="16"/>
    </w:rPr>
  </w:style>
  <w:style w:type="paragraph" w:customStyle="1" w:styleId="3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3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rPr>
  </w:style>
  <w:style w:type="paragraph" w:customStyle="1" w:styleId="3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rPr>
  </w:style>
  <w:style w:type="paragraph" w:customStyle="1" w:styleId="40">
    <w:name w:val="xl77"/>
    <w:basedOn w:val="1"/>
    <w:qFormat/>
    <w:uiPriority w:val="0"/>
    <w:pPr>
      <w:widowControl/>
      <w:spacing w:before="100" w:beforeAutospacing="1" w:after="100" w:afterAutospacing="1"/>
      <w:jc w:val="center"/>
    </w:pPr>
    <w:rPr>
      <w:rFonts w:ascii="宋体" w:hAnsi="宋体" w:cs="宋体"/>
      <w:kern w:val="0"/>
      <w:sz w:val="24"/>
    </w:rPr>
  </w:style>
  <w:style w:type="paragraph" w:customStyle="1" w:styleId="4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4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43">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44">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45">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46">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color w:val="FF0000"/>
      <w:kern w:val="0"/>
      <w:sz w:val="18"/>
      <w:szCs w:val="18"/>
    </w:rPr>
  </w:style>
  <w:style w:type="paragraph" w:customStyle="1" w:styleId="47">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8">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0">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1">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2">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6"/>
      <w:szCs w:val="16"/>
    </w:rPr>
  </w:style>
  <w:style w:type="paragraph" w:customStyle="1" w:styleId="5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FF0000"/>
      <w:kern w:val="0"/>
      <w:sz w:val="18"/>
      <w:szCs w:val="18"/>
    </w:rPr>
  </w:style>
  <w:style w:type="paragraph" w:customStyle="1" w:styleId="5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58">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59">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color w:val="000000"/>
      <w:kern w:val="0"/>
      <w:sz w:val="18"/>
      <w:szCs w:val="18"/>
    </w:rPr>
  </w:style>
  <w:style w:type="paragraph" w:customStyle="1" w:styleId="60">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color w:val="FF0000"/>
      <w:kern w:val="0"/>
      <w:sz w:val="18"/>
      <w:szCs w:val="18"/>
    </w:rPr>
  </w:style>
  <w:style w:type="paragraph" w:customStyle="1" w:styleId="6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color w:val="000000"/>
      <w:kern w:val="0"/>
      <w:sz w:val="18"/>
      <w:szCs w:val="18"/>
    </w:rPr>
  </w:style>
  <w:style w:type="paragraph" w:customStyle="1" w:styleId="6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color w:val="FF0000"/>
      <w:kern w:val="0"/>
      <w:sz w:val="18"/>
      <w:szCs w:val="18"/>
    </w:rPr>
  </w:style>
  <w:style w:type="paragraph" w:customStyle="1" w:styleId="6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6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65">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6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67">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68">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color w:val="000000"/>
      <w:kern w:val="0"/>
      <w:sz w:val="18"/>
      <w:szCs w:val="18"/>
    </w:rPr>
  </w:style>
  <w:style w:type="paragraph" w:customStyle="1" w:styleId="6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color w:val="000000"/>
      <w:kern w:val="0"/>
      <w:sz w:val="18"/>
      <w:szCs w:val="18"/>
    </w:rPr>
  </w:style>
  <w:style w:type="paragraph" w:customStyle="1" w:styleId="70">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71">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72">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73">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74">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75">
    <w:name w:val="xl11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113"/>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77">
    <w:name w:val="xl11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8">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79">
    <w:name w:val="xl116"/>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0">
    <w:name w:val="xl11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1">
    <w:name w:val="xl118"/>
    <w:basedOn w:val="1"/>
    <w:qFormat/>
    <w:uiPriority w:val="0"/>
    <w:pPr>
      <w:widowControl/>
      <w:pBdr>
        <w:bottom w:val="single" w:color="auto" w:sz="4" w:space="0"/>
      </w:pBdr>
      <w:shd w:val="clear" w:color="000000" w:fill="FFFF00"/>
      <w:spacing w:before="100" w:beforeAutospacing="1" w:after="100" w:afterAutospacing="1"/>
      <w:jc w:val="center"/>
    </w:pPr>
    <w:rPr>
      <w:rFonts w:ascii="宋体" w:hAnsi="宋体" w:cs="宋体"/>
      <w:b/>
      <w:bCs/>
      <w:kern w:val="0"/>
      <w:sz w:val="24"/>
    </w:rPr>
  </w:style>
  <w:style w:type="paragraph" w:customStyle="1" w:styleId="82">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12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4">
    <w:name w:val="xl12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122"/>
    <w:basedOn w:val="1"/>
    <w:qFormat/>
    <w:uiPriority w:val="0"/>
    <w:pPr>
      <w:widowControl/>
      <w:pBdr>
        <w:top w:val="single" w:color="auto" w:sz="4" w:space="0"/>
        <w:left w:val="single" w:color="auto" w:sz="4" w:space="0"/>
      </w:pBdr>
      <w:spacing w:before="100" w:beforeAutospacing="1" w:after="100" w:afterAutospacing="1"/>
      <w:jc w:val="center"/>
    </w:pPr>
    <w:rPr>
      <w:color w:val="000000"/>
      <w:kern w:val="0"/>
      <w:sz w:val="18"/>
      <w:szCs w:val="18"/>
    </w:rPr>
  </w:style>
  <w:style w:type="paragraph" w:customStyle="1" w:styleId="86">
    <w:name w:val="xl123"/>
    <w:basedOn w:val="1"/>
    <w:qFormat/>
    <w:uiPriority w:val="0"/>
    <w:pPr>
      <w:widowControl/>
      <w:pBdr>
        <w:top w:val="single" w:color="auto" w:sz="4" w:space="0"/>
      </w:pBdr>
      <w:spacing w:before="100" w:beforeAutospacing="1" w:after="100" w:afterAutospacing="1"/>
      <w:jc w:val="center"/>
    </w:pPr>
    <w:rPr>
      <w:color w:val="000000"/>
      <w:kern w:val="0"/>
      <w:sz w:val="18"/>
      <w:szCs w:val="18"/>
    </w:rPr>
  </w:style>
  <w:style w:type="paragraph" w:customStyle="1" w:styleId="87">
    <w:name w:val="xl124"/>
    <w:basedOn w:val="1"/>
    <w:qFormat/>
    <w:uiPriority w:val="0"/>
    <w:pPr>
      <w:widowControl/>
      <w:pBdr>
        <w:top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88">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9">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1">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4">
    <w:name w:val="xl13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5">
    <w:name w:val="xl13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6">
    <w:name w:val="xl13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7">
    <w:name w:val="xl1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8">
    <w:name w:val="xl13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9">
    <w:name w:val="xl13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00">
    <w:name w:val="xl137"/>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101">
    <w:name w:val="xl13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02">
    <w:name w:val="xl13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103">
    <w:name w:val="xl140"/>
    <w:basedOn w:val="1"/>
    <w:qFormat/>
    <w:uiPriority w:val="0"/>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104">
    <w:name w:val="xl1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105">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06">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107">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18"/>
      <w:szCs w:val="18"/>
    </w:rPr>
  </w:style>
  <w:style w:type="paragraph" w:customStyle="1" w:styleId="108">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109">
    <w:name w:val="xl63"/>
    <w:basedOn w:val="1"/>
    <w:qFormat/>
    <w:uiPriority w:val="0"/>
    <w:pPr>
      <w:widowControl/>
      <w:spacing w:before="100" w:beforeAutospacing="1" w:after="100" w:afterAutospacing="1"/>
      <w:jc w:val="center"/>
    </w:pPr>
    <w:rPr>
      <w:kern w:val="0"/>
      <w:sz w:val="16"/>
      <w:szCs w:val="16"/>
    </w:rPr>
  </w:style>
  <w:style w:type="paragraph" w:customStyle="1" w:styleId="110">
    <w:name w:val="xl64"/>
    <w:basedOn w:val="1"/>
    <w:qFormat/>
    <w:uiPriority w:val="0"/>
    <w:pPr>
      <w:widowControl/>
      <w:spacing w:before="100" w:beforeAutospacing="1" w:after="100" w:afterAutospacing="1"/>
      <w:jc w:val="left"/>
    </w:pPr>
    <w:rPr>
      <w:kern w:val="0"/>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300</Words>
  <Characters>1711</Characters>
  <Lines>14</Lines>
  <Paragraphs>4</Paragraphs>
  <TotalTime>0</TotalTime>
  <ScaleCrop>false</ScaleCrop>
  <LinksUpToDate>false</LinksUpToDate>
  <CharactersWithSpaces>2007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2021-03-30T18:22:00Z</dcterms:created>
  <dc:creator>PC</dc:creator>
  <cp:lastModifiedBy>5438</cp:lastModifiedBy>
  <cp:lastPrinted>2017-04-24T17:04:00Z</cp:lastPrinted>
  <dcterms:modified xsi:type="dcterms:W3CDTF">2022-12-09T12:15:22Z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1250C5BD89824FC68A764D4A5AAA85B5</vt:lpwstr>
  </property>
</Properties>
</file>