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t>保险</w:t>
      </w:r>
      <w:r>
        <w:rPr>
          <w:rFonts w:hint="eastAsia" w:ascii="宋体" w:hAnsi="宋体"/>
          <w:b/>
          <w:bCs/>
          <w:sz w:val="36"/>
          <w:szCs w:val="36"/>
        </w:rPr>
        <w:t>学</w:t>
      </w:r>
      <w:r>
        <w:rPr>
          <w:rFonts w:ascii="宋体" w:hAnsi="宋体"/>
          <w:b/>
          <w:bCs/>
          <w:sz w:val="36"/>
          <w:szCs w:val="36"/>
        </w:rPr>
        <w:t>专业（</w:t>
      </w:r>
      <w:r>
        <w:rPr>
          <w:rFonts w:hint="eastAsia" w:ascii="宋体" w:hAnsi="宋体"/>
          <w:b/>
          <w:bCs/>
          <w:sz w:val="36"/>
          <w:szCs w:val="36"/>
        </w:rPr>
        <w:t>保险</w:t>
      </w:r>
      <w:r>
        <w:rPr>
          <w:rFonts w:ascii="宋体" w:hAnsi="宋体"/>
          <w:b/>
          <w:bCs/>
          <w:sz w:val="36"/>
          <w:szCs w:val="36"/>
        </w:rPr>
        <w:t>精算）本科人才培养方案</w:t>
      </w:r>
    </w:p>
    <w:p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（专业代码</w:t>
      </w:r>
      <w:r>
        <w:rPr>
          <w:rFonts w:hint="eastAsia" w:ascii="宋体" w:hAnsi="宋体"/>
          <w:b/>
          <w:bCs/>
          <w:sz w:val="28"/>
          <w:szCs w:val="28"/>
        </w:rPr>
        <w:t>：</w:t>
      </w:r>
      <w:r>
        <w:rPr>
          <w:rFonts w:ascii="Times New Roman" w:hAnsi="Times New Roman" w:eastAsia="黑体"/>
          <w:b/>
          <w:bCs/>
          <w:sz w:val="28"/>
          <w:szCs w:val="28"/>
        </w:rPr>
        <w:t>020303）</w:t>
      </w:r>
    </w:p>
    <w:p>
      <w:pPr>
        <w:spacing w:line="360" w:lineRule="auto"/>
        <w:ind w:firstLine="482" w:firstLineChars="200"/>
        <w:outlineLvl w:val="0"/>
        <w:rPr>
          <w:rFonts w:ascii="Times New Roman" w:hAnsi="宋体"/>
          <w:b/>
          <w:bCs/>
          <w:sz w:val="24"/>
        </w:rPr>
      </w:pPr>
    </w:p>
    <w:p>
      <w:pPr>
        <w:spacing w:line="360" w:lineRule="auto"/>
        <w:ind w:firstLine="482" w:firstLineChars="200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一、培养目标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本专业培养</w:t>
      </w:r>
      <w:r>
        <w:rPr>
          <w:rFonts w:hint="eastAsia" w:ascii="Times New Roman" w:hAnsi="宋体"/>
          <w:sz w:val="24"/>
        </w:rPr>
        <w:t>具有社会主义核心价值观以及规范使用语言文字的意识和应用能力，</w:t>
      </w:r>
      <w:r>
        <w:rPr>
          <w:rFonts w:ascii="Times New Roman" w:hAnsi="宋体"/>
          <w:sz w:val="24"/>
        </w:rPr>
        <w:t>适应</w:t>
      </w:r>
      <w:r>
        <w:rPr>
          <w:rFonts w:hint="eastAsia" w:ascii="Times New Roman" w:hAnsi="宋体"/>
          <w:sz w:val="24"/>
        </w:rPr>
        <w:t>现代</w:t>
      </w:r>
      <w:r>
        <w:rPr>
          <w:rFonts w:ascii="Times New Roman" w:hAnsi="宋体"/>
          <w:sz w:val="24"/>
        </w:rPr>
        <w:t>经济</w:t>
      </w:r>
      <w:r>
        <w:rPr>
          <w:rFonts w:hint="eastAsia" w:ascii="Times New Roman" w:hAnsi="宋体"/>
          <w:sz w:val="24"/>
        </w:rPr>
        <w:t>与社会</w:t>
      </w:r>
      <w:r>
        <w:rPr>
          <w:rFonts w:ascii="Times New Roman" w:hAnsi="宋体"/>
          <w:sz w:val="24"/>
        </w:rPr>
        <w:t>发展需要，</w:t>
      </w:r>
      <w:r>
        <w:rPr>
          <w:rFonts w:hint="eastAsia" w:ascii="Times New Roman" w:hAnsi="宋体"/>
          <w:sz w:val="24"/>
        </w:rPr>
        <w:t>德智体美劳全面发展，经济学、</w:t>
      </w:r>
      <w:r>
        <w:rPr>
          <w:rFonts w:ascii="Times New Roman" w:hAnsi="宋体"/>
          <w:sz w:val="24"/>
        </w:rPr>
        <w:t>金融学</w:t>
      </w:r>
      <w:r>
        <w:rPr>
          <w:rFonts w:hint="eastAsia" w:ascii="Times New Roman" w:hAnsi="宋体"/>
          <w:sz w:val="24"/>
        </w:rPr>
        <w:t>和</w:t>
      </w:r>
      <w:r>
        <w:rPr>
          <w:rFonts w:ascii="Times New Roman" w:hAnsi="宋体"/>
          <w:sz w:val="24"/>
        </w:rPr>
        <w:t>保险学</w:t>
      </w:r>
      <w:r>
        <w:rPr>
          <w:rFonts w:hint="eastAsia" w:ascii="Times New Roman" w:hAnsi="宋体"/>
          <w:sz w:val="24"/>
        </w:rPr>
        <w:t>理论基础扎实，擅长</w:t>
      </w:r>
      <w:r>
        <w:rPr>
          <w:rFonts w:ascii="Times New Roman" w:hAnsi="宋体"/>
          <w:sz w:val="24"/>
        </w:rPr>
        <w:t>保险精算，知识</w:t>
      </w:r>
      <w:r>
        <w:rPr>
          <w:rFonts w:hint="eastAsia" w:ascii="Times New Roman" w:hAnsi="宋体"/>
          <w:sz w:val="24"/>
        </w:rPr>
        <w:t>结构合理，</w:t>
      </w:r>
      <w:r>
        <w:rPr>
          <w:rFonts w:ascii="Times New Roman" w:hAnsi="宋体"/>
          <w:sz w:val="24"/>
        </w:rPr>
        <w:t>适应能力强</w:t>
      </w:r>
      <w:r>
        <w:rPr>
          <w:rFonts w:hint="eastAsia" w:ascii="Times New Roman" w:hAnsi="宋体"/>
          <w:sz w:val="24"/>
        </w:rPr>
        <w:t>，</w:t>
      </w:r>
      <w:r>
        <w:rPr>
          <w:rFonts w:ascii="Times New Roman" w:hAnsi="宋体"/>
          <w:sz w:val="24"/>
        </w:rPr>
        <w:t>富有创新精神，能够在</w:t>
      </w:r>
      <w:r>
        <w:rPr>
          <w:rFonts w:hint="eastAsia" w:ascii="Times New Roman" w:hAnsi="宋体"/>
          <w:sz w:val="24"/>
        </w:rPr>
        <w:t>境</w:t>
      </w:r>
      <w:r>
        <w:rPr>
          <w:rFonts w:ascii="Times New Roman" w:hAnsi="宋体"/>
          <w:sz w:val="24"/>
        </w:rPr>
        <w:t>内外保险公司、银行、证券公司、信托投资公司以及其他金融机构、</w:t>
      </w:r>
      <w:r>
        <w:rPr>
          <w:rFonts w:hint="eastAsia" w:ascii="Times New Roman" w:hAnsi="宋体"/>
          <w:sz w:val="24"/>
        </w:rPr>
        <w:t>企事业单位</w:t>
      </w:r>
      <w:r>
        <w:rPr>
          <w:rFonts w:ascii="Times New Roman" w:hAnsi="宋体"/>
          <w:sz w:val="24"/>
        </w:rPr>
        <w:t>和政府部门从事</w:t>
      </w:r>
      <w:r>
        <w:rPr>
          <w:rFonts w:hint="eastAsia" w:ascii="Times New Roman" w:hAnsi="宋体"/>
          <w:sz w:val="24"/>
        </w:rPr>
        <w:t>相关专业</w:t>
      </w:r>
      <w:r>
        <w:rPr>
          <w:rFonts w:ascii="Times New Roman" w:hAnsi="宋体"/>
          <w:sz w:val="24"/>
        </w:rPr>
        <w:t>工作的保险</w:t>
      </w:r>
      <w:r>
        <w:rPr>
          <w:rFonts w:hint="eastAsia" w:ascii="Times New Roman" w:hAnsi="宋体"/>
          <w:sz w:val="24"/>
        </w:rPr>
        <w:t>精算</w:t>
      </w:r>
      <w:r>
        <w:rPr>
          <w:rFonts w:ascii="Times New Roman" w:hAnsi="宋体"/>
          <w:sz w:val="24"/>
        </w:rPr>
        <w:t>人才、</w:t>
      </w:r>
      <w:r>
        <w:rPr>
          <w:rFonts w:hint="eastAsia" w:ascii="Times New Roman" w:hAnsi="宋体"/>
          <w:sz w:val="24"/>
        </w:rPr>
        <w:t>保险</w:t>
      </w:r>
      <w:r>
        <w:rPr>
          <w:rFonts w:ascii="Times New Roman" w:hAnsi="宋体"/>
          <w:sz w:val="24"/>
        </w:rPr>
        <w:t>实务人才、金融业务</w:t>
      </w:r>
      <w:r>
        <w:rPr>
          <w:rFonts w:hint="eastAsia" w:ascii="Times New Roman" w:hAnsi="宋体"/>
          <w:sz w:val="24"/>
        </w:rPr>
        <w:t>人才和</w:t>
      </w:r>
      <w:r>
        <w:rPr>
          <w:rFonts w:ascii="Times New Roman" w:hAnsi="宋体"/>
          <w:sz w:val="24"/>
        </w:rPr>
        <w:t>管理人才</w:t>
      </w:r>
      <w:r>
        <w:rPr>
          <w:rFonts w:hint="eastAsia" w:ascii="Times New Roman" w:hAnsi="宋体"/>
          <w:sz w:val="24"/>
        </w:rPr>
        <w:t>。同时</w:t>
      </w:r>
      <w:r>
        <w:rPr>
          <w:rFonts w:ascii="Times New Roman" w:hAnsi="宋体"/>
          <w:sz w:val="24"/>
        </w:rPr>
        <w:t>，培养具备</w:t>
      </w:r>
      <w:r>
        <w:rPr>
          <w:rFonts w:hint="eastAsia" w:ascii="Times New Roman" w:hAnsi="宋体"/>
          <w:sz w:val="24"/>
        </w:rPr>
        <w:t>较高</w:t>
      </w:r>
      <w:r>
        <w:rPr>
          <w:rFonts w:ascii="Times New Roman" w:hAnsi="宋体"/>
          <w:sz w:val="24"/>
        </w:rPr>
        <w:t>的经济</w:t>
      </w:r>
      <w:r>
        <w:rPr>
          <w:rFonts w:hint="eastAsia" w:ascii="Times New Roman" w:hAnsi="宋体"/>
          <w:sz w:val="24"/>
        </w:rPr>
        <w:t>学、统计</w:t>
      </w:r>
      <w:r>
        <w:rPr>
          <w:rFonts w:ascii="Times New Roman" w:hAnsi="宋体"/>
          <w:sz w:val="24"/>
        </w:rPr>
        <w:t>学</w:t>
      </w:r>
      <w:r>
        <w:rPr>
          <w:rFonts w:hint="eastAsia" w:ascii="Times New Roman" w:hAnsi="宋体"/>
          <w:sz w:val="24"/>
        </w:rPr>
        <w:t>、</w:t>
      </w:r>
      <w:r>
        <w:rPr>
          <w:rFonts w:ascii="Times New Roman" w:hAnsi="宋体"/>
          <w:sz w:val="24"/>
        </w:rPr>
        <w:t>金融学</w:t>
      </w:r>
      <w:r>
        <w:rPr>
          <w:rFonts w:hint="eastAsia" w:ascii="Times New Roman" w:hAnsi="宋体"/>
          <w:sz w:val="24"/>
        </w:rPr>
        <w:t>、</w:t>
      </w:r>
      <w:r>
        <w:rPr>
          <w:rFonts w:ascii="Times New Roman" w:hAnsi="宋体"/>
          <w:sz w:val="24"/>
        </w:rPr>
        <w:t>保险学理论</w:t>
      </w:r>
      <w:r>
        <w:rPr>
          <w:rFonts w:hint="eastAsia" w:ascii="Times New Roman" w:hAnsi="宋体"/>
          <w:sz w:val="24"/>
        </w:rPr>
        <w:t>素养</w:t>
      </w:r>
      <w:r>
        <w:rPr>
          <w:rFonts w:ascii="Times New Roman" w:hAnsi="宋体"/>
          <w:sz w:val="24"/>
        </w:rPr>
        <w:t>，</w:t>
      </w:r>
      <w:r>
        <w:rPr>
          <w:rFonts w:hint="eastAsia" w:ascii="Times New Roman" w:hAnsi="宋体"/>
          <w:sz w:val="24"/>
        </w:rPr>
        <w:t>志向</w:t>
      </w:r>
      <w:r>
        <w:rPr>
          <w:rFonts w:ascii="Times New Roman" w:hAnsi="宋体"/>
          <w:sz w:val="24"/>
        </w:rPr>
        <w:t>从</w:t>
      </w:r>
      <w:r>
        <w:rPr>
          <w:rFonts w:hint="eastAsia" w:ascii="Times New Roman" w:hAnsi="宋体"/>
          <w:sz w:val="24"/>
        </w:rPr>
        <w:t>事科研工作的科研潜力</w:t>
      </w:r>
      <w:r>
        <w:rPr>
          <w:rFonts w:ascii="Times New Roman" w:hAnsi="宋体"/>
          <w:sz w:val="24"/>
        </w:rPr>
        <w:t>人才。</w:t>
      </w:r>
    </w:p>
    <w:p>
      <w:pPr>
        <w:spacing w:line="360" w:lineRule="auto"/>
        <w:ind w:firstLine="482" w:firstLineChars="200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二、</w:t>
      </w:r>
      <w:r>
        <w:rPr>
          <w:rFonts w:hint="eastAsia" w:ascii="Times New Roman" w:hAnsi="宋体"/>
          <w:b/>
          <w:bCs/>
          <w:sz w:val="24"/>
        </w:rPr>
        <w:t>毕业</w:t>
      </w:r>
      <w:r>
        <w:rPr>
          <w:rFonts w:ascii="Times New Roman" w:hAnsi="宋体"/>
          <w:b/>
          <w:bCs/>
          <w:sz w:val="24"/>
        </w:rPr>
        <w:t>要求</w:t>
      </w:r>
    </w:p>
    <w:p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1</w:t>
      </w:r>
      <w:r>
        <w:rPr>
          <w:rFonts w:ascii="Times New Roman"/>
          <w:szCs w:val="24"/>
        </w:rPr>
        <w:t>．</w:t>
      </w:r>
      <w:r>
        <w:rPr>
          <w:rFonts w:hint="eastAsia"/>
        </w:rPr>
        <w:t>掌握马克思主义、毛泽东思想和习近平新时代中国特色社会主义思想理论体系。具有良好的思想品德、社会公德、职业道德和个人修养；</w:t>
      </w:r>
      <w:r>
        <w:rPr>
          <w:rFonts w:hint="eastAsia" w:ascii="Times New Roman"/>
          <w:szCs w:val="24"/>
        </w:rPr>
        <w:t>具有健康的心理和强健体魄；</w:t>
      </w:r>
      <w:r>
        <w:rPr>
          <w:rFonts w:hint="eastAsia"/>
        </w:rPr>
        <w:t>具有爱岗敬业、遵纪守法和团结合作的品质；具有为国家富强、民族昌盛而奋斗的志向和责任感。</w:t>
      </w:r>
    </w:p>
    <w:p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2</w:t>
      </w:r>
      <w:r>
        <w:rPr>
          <w:rFonts w:ascii="Times New Roman"/>
          <w:szCs w:val="24"/>
        </w:rPr>
        <w:t>．</w:t>
      </w:r>
      <w:r>
        <w:rPr>
          <w:rFonts w:hint="eastAsia" w:ascii="Times New Roman"/>
          <w:szCs w:val="24"/>
        </w:rPr>
        <w:t>系统掌握经济学和金融保险学科的基础知识和专业理论；熟悉</w:t>
      </w:r>
      <w:r>
        <w:rPr>
          <w:rFonts w:ascii="Times New Roman" w:hAnsi="Times New Roman"/>
        </w:rPr>
        <w:t>国家有关金融、保险的方针政策、法律法规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国情；</w:t>
      </w:r>
      <w:r>
        <w:rPr>
          <w:rFonts w:hint="eastAsia" w:ascii="Times New Roman" w:hAnsi="Times New Roman"/>
        </w:rPr>
        <w:t>知道</w:t>
      </w:r>
      <w:r>
        <w:rPr>
          <w:rFonts w:ascii="Times New Roman" w:hAnsi="Times New Roman"/>
        </w:rPr>
        <w:t>现代金融保险企业的经营管理方法；</w:t>
      </w:r>
      <w:r>
        <w:rPr>
          <w:rFonts w:hint="eastAsia" w:ascii="Times New Roman" w:hAnsi="Times New Roman"/>
        </w:rPr>
        <w:t>具有</w:t>
      </w:r>
      <w:r>
        <w:rPr>
          <w:rFonts w:ascii="Times New Roman" w:hAnsi="Times New Roman"/>
        </w:rPr>
        <w:t>国际视野；了解国内外金融、保险业的</w:t>
      </w:r>
      <w:r>
        <w:rPr>
          <w:rFonts w:hint="eastAsia" w:ascii="Times New Roman" w:hAnsi="Times New Roman"/>
        </w:rPr>
        <w:t>热点</w:t>
      </w:r>
      <w:r>
        <w:rPr>
          <w:rFonts w:ascii="Times New Roman" w:hAnsi="Times New Roman"/>
        </w:rPr>
        <w:t>、最新发展动态和趋势</w:t>
      </w:r>
      <w:r>
        <w:rPr>
          <w:rFonts w:hint="eastAsia" w:ascii="Times New Roman"/>
        </w:rPr>
        <w:t>；</w:t>
      </w:r>
      <w:r>
        <w:rPr>
          <w:rFonts w:hint="eastAsia" w:ascii="Times New Roman"/>
          <w:szCs w:val="24"/>
        </w:rPr>
        <w:t>具备完善</w:t>
      </w:r>
      <w:r>
        <w:rPr>
          <w:rFonts w:ascii="Times New Roman"/>
          <w:szCs w:val="24"/>
        </w:rPr>
        <w:t>的</w:t>
      </w:r>
      <w:r>
        <w:rPr>
          <w:rFonts w:hint="eastAsia" w:ascii="Times New Roman"/>
          <w:szCs w:val="24"/>
        </w:rPr>
        <w:t>知识结构和扎实的数理分析能力。</w:t>
      </w:r>
    </w:p>
    <w:p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3</w:t>
      </w:r>
      <w:r>
        <w:rPr>
          <w:rFonts w:ascii="Times New Roman"/>
          <w:szCs w:val="24"/>
        </w:rPr>
        <w:t>．</w:t>
      </w:r>
      <w:r>
        <w:rPr>
          <w:rFonts w:hint="eastAsia" w:ascii="Times New Roman"/>
          <w:szCs w:val="24"/>
        </w:rPr>
        <w:t>具备</w:t>
      </w:r>
      <w:r>
        <w:rPr>
          <w:rFonts w:ascii="Times New Roman" w:hAnsi="Times New Roman"/>
        </w:rPr>
        <w:t>一定的保险精算技能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保险实务操作技能</w:t>
      </w:r>
      <w:r>
        <w:rPr>
          <w:rFonts w:hint="eastAsia" w:ascii="Times New Roman" w:hAnsi="Times New Roman"/>
        </w:rPr>
        <w:t>；拥有</w:t>
      </w:r>
      <w:r>
        <w:rPr>
          <w:rFonts w:hint="eastAsia" w:ascii="Times New Roman"/>
          <w:szCs w:val="24"/>
        </w:rPr>
        <w:t>管理能力、</w:t>
      </w:r>
      <w:r>
        <w:rPr>
          <w:rFonts w:ascii="Times New Roman"/>
          <w:szCs w:val="24"/>
        </w:rPr>
        <w:t>研究</w:t>
      </w:r>
      <w:r>
        <w:rPr>
          <w:rFonts w:hint="eastAsia" w:ascii="Times New Roman" w:hAnsi="Times New Roman"/>
        </w:rPr>
        <w:t>能力</w:t>
      </w:r>
      <w:r>
        <w:rPr>
          <w:rFonts w:hint="eastAsia" w:ascii="Times New Roman"/>
          <w:szCs w:val="24"/>
        </w:rPr>
        <w:t>和创新能力；具有良好的语言表达和沟通协调能力；掌握至少一门外语；能够熟练运用Python和SPSS等统计应用软件和</w:t>
      </w:r>
      <w:r>
        <w:rPr>
          <w:rFonts w:ascii="Times New Roman"/>
          <w:szCs w:val="24"/>
        </w:rPr>
        <w:t>其他常用软件</w:t>
      </w:r>
      <w:r>
        <w:rPr>
          <w:rFonts w:hint="eastAsia" w:ascii="Times New Roman"/>
          <w:szCs w:val="24"/>
        </w:rPr>
        <w:t>从事业务工作。</w:t>
      </w:r>
    </w:p>
    <w:p>
      <w:pPr>
        <w:pStyle w:val="4"/>
        <w:ind w:firstLine="48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三、培养特色</w:t>
      </w:r>
    </w:p>
    <w:p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以</w:t>
      </w:r>
      <w:r>
        <w:rPr>
          <w:rFonts w:ascii="Times New Roman"/>
          <w:sz w:val="24"/>
        </w:rPr>
        <w:t>中国精算师资格考试</w:t>
      </w:r>
      <w:r>
        <w:rPr>
          <w:rFonts w:hint="eastAsia" w:ascii="Times New Roman"/>
          <w:sz w:val="24"/>
        </w:rPr>
        <w:t>为导向。</w:t>
      </w:r>
      <w:r>
        <w:rPr>
          <w:rFonts w:ascii="Times New Roman" w:hAnsi="Times New Roman"/>
          <w:sz w:val="24"/>
        </w:rPr>
        <w:t>结合中国保险精算师资格考试课程的内容进行课程设置，鼓励学习期间参加并通过部分准精算资格课程考试。</w:t>
      </w:r>
    </w:p>
    <w:p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注重</w:t>
      </w:r>
      <w:r>
        <w:rPr>
          <w:rFonts w:ascii="Times New Roman"/>
          <w:sz w:val="24"/>
        </w:rPr>
        <w:t>实践</w:t>
      </w:r>
      <w:r>
        <w:rPr>
          <w:rFonts w:hint="eastAsia" w:ascii="Times New Roman"/>
          <w:sz w:val="24"/>
        </w:rPr>
        <w:t>教学。</w:t>
      </w:r>
      <w:r>
        <w:rPr>
          <w:rFonts w:ascii="Times New Roman" w:hAnsi="Times New Roman"/>
          <w:sz w:val="24"/>
        </w:rPr>
        <w:t>加强同保险行业社团机构、保险</w:t>
      </w:r>
      <w:r>
        <w:rPr>
          <w:rFonts w:hint="eastAsia" w:ascii="Times New Roman" w:hAnsi="Times New Roman"/>
          <w:sz w:val="24"/>
        </w:rPr>
        <w:t>企业</w:t>
      </w:r>
      <w:r>
        <w:rPr>
          <w:rFonts w:ascii="Times New Roman" w:hAnsi="Times New Roman"/>
          <w:sz w:val="24"/>
        </w:rPr>
        <w:t>和保险中介机构合作，建立保险专业实践基地，强化专业实践教学，培养</w:t>
      </w:r>
      <w:r>
        <w:rPr>
          <w:rFonts w:hint="eastAsia" w:ascii="Times New Roman" w:hAnsi="Times New Roman"/>
          <w:sz w:val="24"/>
        </w:rPr>
        <w:t>保险</w:t>
      </w:r>
      <w:r>
        <w:rPr>
          <w:rFonts w:ascii="Times New Roman" w:hAnsi="Times New Roman"/>
          <w:sz w:val="24"/>
        </w:rPr>
        <w:t>实务操作能力。</w:t>
      </w:r>
    </w:p>
    <w:p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倡导开放</w:t>
      </w:r>
      <w:r>
        <w:rPr>
          <w:rFonts w:ascii="Times New Roman"/>
          <w:sz w:val="24"/>
        </w:rPr>
        <w:t>式办学</w:t>
      </w:r>
      <w:r>
        <w:rPr>
          <w:rFonts w:hint="eastAsia" w:ascii="Times New Roman"/>
          <w:sz w:val="24"/>
        </w:rPr>
        <w:t>。</w:t>
      </w:r>
      <w:r>
        <w:rPr>
          <w:rFonts w:ascii="Times New Roman" w:hAnsi="Times New Roman"/>
          <w:sz w:val="24"/>
        </w:rPr>
        <w:t>同国际国内大学和相关业务单位建立广泛联系，为学生提供多种国际国内交流学习和实践的机会。</w:t>
      </w:r>
    </w:p>
    <w:p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加强</w:t>
      </w:r>
      <w:r>
        <w:rPr>
          <w:rFonts w:ascii="Times New Roman"/>
          <w:sz w:val="24"/>
        </w:rPr>
        <w:t>科研训练</w:t>
      </w:r>
      <w:r>
        <w:rPr>
          <w:rFonts w:hint="eastAsia" w:ascii="Times New Roman"/>
          <w:sz w:val="24"/>
        </w:rPr>
        <w:t>。</w:t>
      </w:r>
      <w:r>
        <w:rPr>
          <w:rFonts w:ascii="Times New Roman" w:hAnsi="Times New Roman"/>
          <w:sz w:val="24"/>
        </w:rPr>
        <w:t>发挥学生专业学术社团的作用，鼓励学生积极参加科研创新，提供多种类、多渠道科研机会，培养和提升学生从事科研的兴趣和能力。</w:t>
      </w:r>
    </w:p>
    <w:p>
      <w:pPr>
        <w:spacing w:line="360" w:lineRule="auto"/>
        <w:ind w:firstLine="463" w:firstLineChars="192"/>
        <w:outlineLvl w:val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核心</w:t>
      </w:r>
      <w:r>
        <w:rPr>
          <w:rFonts w:ascii="Times New Roman" w:hAnsi="Times New Roman"/>
          <w:b/>
          <w:sz w:val="24"/>
        </w:rPr>
        <w:t>课程</w:t>
      </w:r>
    </w:p>
    <w:p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政治经济学、微观经济学、宏观经济学、</w:t>
      </w:r>
      <w:r>
        <w:rPr>
          <w:rFonts w:hint="eastAsia" w:ascii="Times New Roman" w:hAnsi="Times New Roman"/>
          <w:sz w:val="24"/>
        </w:rPr>
        <w:t>金融学、</w:t>
      </w:r>
      <w:r>
        <w:rPr>
          <w:rFonts w:ascii="Times New Roman" w:hAnsi="Times New Roman"/>
          <w:sz w:val="24"/>
        </w:rPr>
        <w:t>会计学、统计学、</w:t>
      </w:r>
      <w:r>
        <w:rPr>
          <w:rFonts w:hint="eastAsia" w:ascii="Times New Roman" w:hAnsi="Times New Roman"/>
          <w:sz w:val="24"/>
        </w:rPr>
        <w:t>公司金融、</w:t>
      </w:r>
      <w:r>
        <w:rPr>
          <w:rFonts w:ascii="Times New Roman" w:hAnsi="Times New Roman"/>
          <w:sz w:val="24"/>
        </w:rPr>
        <w:t>计量经济学、保险学原理、财产保险、人身保险、利息理论、再保险、</w:t>
      </w:r>
      <w:r>
        <w:rPr>
          <w:rFonts w:hint="eastAsia" w:ascii="Times New Roman" w:hAnsi="Times New Roman"/>
          <w:sz w:val="24"/>
        </w:rPr>
        <w:t>保险会计与财务</w:t>
      </w:r>
      <w:r>
        <w:rPr>
          <w:rFonts w:ascii="Times New Roman" w:hAnsi="Times New Roman"/>
          <w:sz w:val="24"/>
        </w:rPr>
        <w:t>、寿险精算、非寿险精算、保险法与保险监管。</w:t>
      </w:r>
    </w:p>
    <w:p>
      <w:pPr>
        <w:spacing w:line="360" w:lineRule="auto"/>
        <w:ind w:firstLine="463" w:firstLineChars="192"/>
        <w:outlineLvl w:val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</w:t>
      </w:r>
      <w:r>
        <w:rPr>
          <w:rFonts w:ascii="Times New Roman" w:hAnsi="Times New Roman"/>
          <w:b/>
          <w:sz w:val="24"/>
        </w:rPr>
        <w:t>、学制与学位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int="eastAsia" w:hAnsi="宋体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int="eastAsia" w:hAnsi="宋体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int="eastAsia" w:hAnsi="宋体"/>
          <w:sz w:val="24"/>
        </w:rPr>
        <w:t>经济</w:t>
      </w:r>
      <w:r>
        <w:rPr>
          <w:rFonts w:hAnsi="宋体"/>
          <w:sz w:val="24"/>
        </w:rPr>
        <w:t>学学士学位。</w:t>
      </w:r>
    </w:p>
    <w:p>
      <w:pPr>
        <w:pStyle w:val="3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六</w:t>
      </w:r>
      <w:r>
        <w:rPr>
          <w:rFonts w:ascii="Times New Roman" w:hAnsi="Times New Roman"/>
          <w:b/>
          <w:bCs/>
          <w:sz w:val="24"/>
          <w:szCs w:val="24"/>
        </w:rPr>
        <w:t>、总学分一览表</w:t>
      </w:r>
    </w:p>
    <w:p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Style w:val="9"/>
        <w:tblW w:w="85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504"/>
        <w:gridCol w:w="733"/>
        <w:gridCol w:w="1676"/>
        <w:gridCol w:w="733"/>
        <w:gridCol w:w="1621"/>
        <w:gridCol w:w="1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46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0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课堂教学环节 </w:t>
            </w:r>
          </w:p>
        </w:tc>
        <w:tc>
          <w:tcPr>
            <w:tcW w:w="73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实验教学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62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实践教学</w:t>
            </w:r>
          </w:p>
        </w:tc>
        <w:tc>
          <w:tcPr>
            <w:tcW w:w="121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1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996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专业</w:t>
            </w:r>
            <w:r>
              <w:rPr>
                <w:rFonts w:hint="eastAsia" w:ascii="Times New Roman" w:hAnsi="Times New Roman"/>
                <w:szCs w:val="21"/>
              </w:rPr>
              <w:t>核心</w:t>
            </w:r>
            <w:r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通识教育选修</w:t>
            </w:r>
            <w:r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ins w:id="0" w:author="Dell" w:date="2021-05-12T09:09:00Z"/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ins w:id="1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ins w:id="2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210" w:firstLineChars="1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630" w:firstLineChars="300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16.15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b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szCs w:val="21"/>
              </w:rPr>
              <w:t>13</w:t>
            </w: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0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9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  <w:r>
              <w:rPr>
                <w:rFonts w:hint="eastAsia" w:ascii="Times New Roman" w:hAnsi="宋体"/>
                <w:szCs w:val="21"/>
              </w:rPr>
              <w:t>论文（设计）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寿险精算(双语）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非寿险精算（双语）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金融建模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精算模型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保险数据挖掘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风险管理学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3</w:t>
            </w: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6</w:t>
            </w:r>
          </w:p>
        </w:tc>
      </w:tr>
    </w:tbl>
    <w:p>
      <w:pPr>
        <w:pStyle w:val="18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/>
    <w:p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3"/>
        <w:adjustRightInd w:val="0"/>
        <w:snapToGrid w:val="0"/>
        <w:spacing w:after="0" w:line="360" w:lineRule="auto"/>
        <w:ind w:left="0" w:leftChars="0" w:firstLine="597" w:firstLineChars="249"/>
        <w:jc w:val="left"/>
        <w:outlineLvl w:val="0"/>
        <w:rPr>
          <w:rFonts w:ascii="Times New Roman" w:hAnsi="Times New Roman"/>
          <w:sz w:val="24"/>
          <w:szCs w:val="24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5967996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600F65"/>
    <w:rsid w:val="00003768"/>
    <w:rsid w:val="00026480"/>
    <w:rsid w:val="00046483"/>
    <w:rsid w:val="00066F5F"/>
    <w:rsid w:val="000731C4"/>
    <w:rsid w:val="00082F42"/>
    <w:rsid w:val="00085FC7"/>
    <w:rsid w:val="000A1AC6"/>
    <w:rsid w:val="000A5343"/>
    <w:rsid w:val="000B5BF7"/>
    <w:rsid w:val="000B723F"/>
    <w:rsid w:val="000D08E8"/>
    <w:rsid w:val="000D1D4E"/>
    <w:rsid w:val="000D3214"/>
    <w:rsid w:val="000E417E"/>
    <w:rsid w:val="000F7603"/>
    <w:rsid w:val="00105FB1"/>
    <w:rsid w:val="00144ADB"/>
    <w:rsid w:val="0016707C"/>
    <w:rsid w:val="00185888"/>
    <w:rsid w:val="001866E8"/>
    <w:rsid w:val="00187DC5"/>
    <w:rsid w:val="00190EE4"/>
    <w:rsid w:val="001A5244"/>
    <w:rsid w:val="001D7D63"/>
    <w:rsid w:val="0023772B"/>
    <w:rsid w:val="00251FDC"/>
    <w:rsid w:val="00262905"/>
    <w:rsid w:val="002C1331"/>
    <w:rsid w:val="002D0CC7"/>
    <w:rsid w:val="002E6C37"/>
    <w:rsid w:val="003038BA"/>
    <w:rsid w:val="00366A42"/>
    <w:rsid w:val="003721FE"/>
    <w:rsid w:val="00377A2A"/>
    <w:rsid w:val="00384FED"/>
    <w:rsid w:val="00385666"/>
    <w:rsid w:val="00393F2F"/>
    <w:rsid w:val="0039545E"/>
    <w:rsid w:val="003D0C40"/>
    <w:rsid w:val="00427C4E"/>
    <w:rsid w:val="0044132A"/>
    <w:rsid w:val="004656EF"/>
    <w:rsid w:val="00466B4C"/>
    <w:rsid w:val="00467CDF"/>
    <w:rsid w:val="0047361F"/>
    <w:rsid w:val="00480C74"/>
    <w:rsid w:val="00485A75"/>
    <w:rsid w:val="004C0ADC"/>
    <w:rsid w:val="004D12E8"/>
    <w:rsid w:val="004E6FE7"/>
    <w:rsid w:val="00507672"/>
    <w:rsid w:val="005133A4"/>
    <w:rsid w:val="0054567E"/>
    <w:rsid w:val="00560FC5"/>
    <w:rsid w:val="00585EDA"/>
    <w:rsid w:val="005A76D1"/>
    <w:rsid w:val="005C5C79"/>
    <w:rsid w:val="005D2923"/>
    <w:rsid w:val="00600045"/>
    <w:rsid w:val="00600F65"/>
    <w:rsid w:val="0061467B"/>
    <w:rsid w:val="006412D8"/>
    <w:rsid w:val="0067797A"/>
    <w:rsid w:val="00696C2E"/>
    <w:rsid w:val="00716AB1"/>
    <w:rsid w:val="00737BA5"/>
    <w:rsid w:val="00743BF9"/>
    <w:rsid w:val="007638D5"/>
    <w:rsid w:val="0077165E"/>
    <w:rsid w:val="007B4B9A"/>
    <w:rsid w:val="007E498A"/>
    <w:rsid w:val="007F4B1D"/>
    <w:rsid w:val="008341D1"/>
    <w:rsid w:val="00840AEC"/>
    <w:rsid w:val="008622D5"/>
    <w:rsid w:val="00871389"/>
    <w:rsid w:val="008A6948"/>
    <w:rsid w:val="008B1D3F"/>
    <w:rsid w:val="008D6EA7"/>
    <w:rsid w:val="008E62B0"/>
    <w:rsid w:val="008F75CA"/>
    <w:rsid w:val="00900B0C"/>
    <w:rsid w:val="0094172B"/>
    <w:rsid w:val="00956D04"/>
    <w:rsid w:val="00965B4C"/>
    <w:rsid w:val="009728B7"/>
    <w:rsid w:val="00980CB1"/>
    <w:rsid w:val="0098383E"/>
    <w:rsid w:val="00987CF2"/>
    <w:rsid w:val="00993CA3"/>
    <w:rsid w:val="009A2842"/>
    <w:rsid w:val="009C68CB"/>
    <w:rsid w:val="009E18B2"/>
    <w:rsid w:val="009E5001"/>
    <w:rsid w:val="00A10A84"/>
    <w:rsid w:val="00A368BD"/>
    <w:rsid w:val="00A71C70"/>
    <w:rsid w:val="00A832EB"/>
    <w:rsid w:val="00AA0891"/>
    <w:rsid w:val="00AC6289"/>
    <w:rsid w:val="00AD5E22"/>
    <w:rsid w:val="00AE2E72"/>
    <w:rsid w:val="00B00A1D"/>
    <w:rsid w:val="00B01B93"/>
    <w:rsid w:val="00B56918"/>
    <w:rsid w:val="00B61CBD"/>
    <w:rsid w:val="00B64EF3"/>
    <w:rsid w:val="00B735C8"/>
    <w:rsid w:val="00BD096C"/>
    <w:rsid w:val="00BD7758"/>
    <w:rsid w:val="00BF77F4"/>
    <w:rsid w:val="00C03871"/>
    <w:rsid w:val="00C2425B"/>
    <w:rsid w:val="00C56C49"/>
    <w:rsid w:val="00C60913"/>
    <w:rsid w:val="00C72FDF"/>
    <w:rsid w:val="00C802C7"/>
    <w:rsid w:val="00C94A45"/>
    <w:rsid w:val="00CA2BDF"/>
    <w:rsid w:val="00CB480A"/>
    <w:rsid w:val="00CB7FFE"/>
    <w:rsid w:val="00CD0BC8"/>
    <w:rsid w:val="00CF7857"/>
    <w:rsid w:val="00D32047"/>
    <w:rsid w:val="00D75C74"/>
    <w:rsid w:val="00DB4783"/>
    <w:rsid w:val="00DC01DB"/>
    <w:rsid w:val="00DE4A44"/>
    <w:rsid w:val="00DF68DD"/>
    <w:rsid w:val="00E75203"/>
    <w:rsid w:val="00E80956"/>
    <w:rsid w:val="00EE3750"/>
    <w:rsid w:val="00EE5A48"/>
    <w:rsid w:val="00EF5CBC"/>
    <w:rsid w:val="00F1032F"/>
    <w:rsid w:val="00F310F1"/>
    <w:rsid w:val="00F407A8"/>
    <w:rsid w:val="00F43A10"/>
    <w:rsid w:val="00F63AEF"/>
    <w:rsid w:val="4D2F6325"/>
    <w:rsid w:val="7A15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link w:val="14"/>
    <w:uiPriority w:val="0"/>
    <w:pPr>
      <w:spacing w:line="360" w:lineRule="auto"/>
      <w:ind w:firstLine="480" w:firstLineChars="200"/>
    </w:pPr>
    <w:rPr>
      <w:rFonts w:ascii="Arial" w:hAnsi="宋体" w:cs="Arial"/>
      <w:sz w:val="24"/>
      <w:szCs w:val="21"/>
    </w:r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uiPriority w:val="99"/>
    <w:rPr>
      <w:b/>
      <w:bCs/>
    </w:rPr>
  </w:style>
  <w:style w:type="character" w:styleId="11">
    <w:name w:val="page number"/>
    <w:basedOn w:val="10"/>
    <w:uiPriority w:val="0"/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脚 字符"/>
    <w:link w:val="6"/>
    <w:qFormat/>
    <w:uiPriority w:val="99"/>
    <w:rPr>
      <w:sz w:val="18"/>
      <w:szCs w:val="18"/>
    </w:rPr>
  </w:style>
  <w:style w:type="character" w:customStyle="1" w:styleId="14">
    <w:name w:val="正文文本缩进 2 字符"/>
    <w:link w:val="4"/>
    <w:uiPriority w:val="0"/>
    <w:rPr>
      <w:rFonts w:ascii="Arial" w:hAnsi="宋体" w:eastAsia="宋体" w:cs="Arial"/>
      <w:sz w:val="24"/>
      <w:szCs w:val="21"/>
    </w:rPr>
  </w:style>
  <w:style w:type="character" w:customStyle="1" w:styleId="15">
    <w:name w:val="正文文本缩进 2 Char1"/>
    <w:basedOn w:val="10"/>
    <w:semiHidden/>
    <w:uiPriority w:val="99"/>
    <w:rPr>
      <w:rFonts w:ascii="Calibri" w:hAnsi="Calibri" w:eastAsia="宋体" w:cs="Times New Roman"/>
    </w:rPr>
  </w:style>
  <w:style w:type="character" w:customStyle="1" w:styleId="16">
    <w:name w:val="页脚 Char1"/>
    <w:basedOn w:val="10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正文文本缩进 字符"/>
    <w:basedOn w:val="10"/>
    <w:link w:val="3"/>
    <w:qFormat/>
    <w:uiPriority w:val="0"/>
    <w:rPr>
      <w:rFonts w:ascii="Calibri" w:hAnsi="Calibri" w:eastAsia="宋体" w:cs="Times New Roman"/>
    </w:rPr>
  </w:style>
  <w:style w:type="paragraph" w:styleId="1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1"/>
    </w:rPr>
  </w:style>
  <w:style w:type="character" w:customStyle="1" w:styleId="19">
    <w:name w:val="页眉 字符"/>
    <w:basedOn w:val="10"/>
    <w:link w:val="7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批注框文本 字符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2">
    <w:name w:val="批注主题 字符"/>
    <w:basedOn w:val="21"/>
    <w:link w:val="8"/>
    <w:semiHidden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0AFC-D606-4B7C-B36E-515DCC98EE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267</Words>
  <Characters>1522</Characters>
  <Lines>12</Lines>
  <Paragraphs>3</Paragraphs>
  <TotalTime>0</TotalTime>
  <ScaleCrop>false</ScaleCrop>
  <LinksUpToDate>false</LinksUpToDate>
  <CharactersWithSpaces>1786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2019-04-14T13:11:00Z</dcterms:created>
  <dc:creator>HMC</dc:creator>
  <cp:lastModifiedBy>5438</cp:lastModifiedBy>
  <cp:lastPrinted>2017-03-27T04:06:00Z</cp:lastPrinted>
  <dcterms:modified xsi:type="dcterms:W3CDTF">2022-12-09T12:18:35Z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7667CF0416434F42B779B687E669B24B</vt:lpwstr>
  </property>
</Properties>
</file>