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color w:val="000000" w:themeColor="text1"/>
          <w:sz w:val="32"/>
        </w:rPr>
      </w:pPr>
      <w:r>
        <w:rPr>
          <w:rFonts w:ascii="Times New Roman" w:hAnsi="Times New Roman" w:eastAsia="方正小标宋简体" w:cs="Times New Roman"/>
          <w:color w:val="000000" w:themeColor="text1"/>
          <w:sz w:val="32"/>
        </w:rPr>
        <w:t>经济学院经济学专业</w:t>
      </w:r>
    </w:p>
    <w:p>
      <w:pPr>
        <w:jc w:val="center"/>
        <w:rPr>
          <w:rFonts w:ascii="Times New Roman" w:hAnsi="Times New Roman" w:eastAsia="方正小标宋简体" w:cs="Times New Roman"/>
          <w:color w:val="000000" w:themeColor="text1"/>
          <w:sz w:val="32"/>
        </w:rPr>
      </w:pPr>
      <w:bookmarkStart w:id="0" w:name="_GoBack"/>
      <w:bookmarkEnd w:id="0"/>
      <w:r>
        <w:rPr>
          <w:rFonts w:ascii="Times New Roman" w:hAnsi="Times New Roman" w:eastAsia="方正小标宋简体" w:cs="Times New Roman"/>
          <w:color w:val="000000" w:themeColor="text1"/>
          <w:sz w:val="32"/>
        </w:rPr>
        <w:t>第二专业学士学位培养方案</w:t>
      </w:r>
    </w:p>
    <w:p>
      <w:pPr>
        <w:jc w:val="center"/>
        <w:rPr>
          <w:rFonts w:ascii="Times New Roman" w:hAnsi="Times New Roman" w:eastAsia="方正小标宋简体" w:cs="Times New Roman"/>
          <w:color w:val="000000" w:themeColor="text1"/>
          <w:sz w:val="28"/>
          <w:szCs w:val="28"/>
        </w:rPr>
      </w:pPr>
      <w:r>
        <w:rPr>
          <w:rFonts w:ascii="Times New Roman" w:hAnsi="Times New Roman" w:eastAsia="方正小标宋简体" w:cs="Times New Roman"/>
          <w:color w:val="000000" w:themeColor="text1"/>
          <w:sz w:val="28"/>
          <w:szCs w:val="28"/>
        </w:rPr>
        <w:t xml:space="preserve">（专业代码 </w:t>
      </w:r>
      <w:r>
        <w:rPr>
          <w:rFonts w:ascii="Times New Roman" w:hAnsi="Times New Roman" w:eastAsia="方正小标宋简体" w:cs="Times New Roman"/>
          <w:b/>
          <w:color w:val="000000" w:themeColor="text1"/>
          <w:sz w:val="28"/>
          <w:szCs w:val="28"/>
        </w:rPr>
        <w:t>020101</w:t>
      </w:r>
      <w:r>
        <w:rPr>
          <w:rFonts w:ascii="Times New Roman" w:hAnsi="Times New Roman" w:eastAsia="方正小标宋简体" w:cs="Times New Roman"/>
          <w:color w:val="000000" w:themeColor="text1"/>
          <w:sz w:val="28"/>
          <w:szCs w:val="28"/>
        </w:rPr>
        <w:t>）</w:t>
      </w:r>
    </w:p>
    <w:p>
      <w:pPr>
        <w:jc w:val="left"/>
        <w:rPr>
          <w:color w:val="000000" w:themeColor="text1"/>
        </w:rPr>
      </w:pPr>
    </w:p>
    <w:p>
      <w:pPr>
        <w:spacing w:line="360" w:lineRule="auto"/>
        <w:ind w:firstLine="472" w:firstLineChars="196"/>
        <w:rPr>
          <w:b/>
          <w:color w:val="000000" w:themeColor="text1"/>
          <w:sz w:val="24"/>
        </w:rPr>
      </w:pPr>
      <w:r>
        <w:rPr>
          <w:rFonts w:hint="eastAsia"/>
          <w:b/>
          <w:color w:val="000000" w:themeColor="text1"/>
          <w:sz w:val="24"/>
        </w:rPr>
        <w:t>一、</w:t>
      </w:r>
      <w:r>
        <w:rPr>
          <w:b/>
          <w:color w:val="000000" w:themeColor="text1"/>
          <w:sz w:val="24"/>
        </w:rPr>
        <w:t>培养目标</w:t>
      </w:r>
    </w:p>
    <w:p>
      <w:pPr>
        <w:spacing w:line="360" w:lineRule="auto"/>
        <w:ind w:firstLine="480" w:firstLineChars="200"/>
        <w:rPr>
          <w:rFonts w:ascii="宋体" w:hAnsi="宋体" w:eastAsia="宋体"/>
          <w:color w:val="000000" w:themeColor="text1"/>
          <w:sz w:val="24"/>
        </w:rPr>
      </w:pPr>
      <w:r>
        <w:rPr>
          <w:rFonts w:hint="eastAsia" w:ascii="宋体" w:hAnsi="宋体" w:eastAsia="宋体"/>
          <w:color w:val="000000" w:themeColor="text1"/>
          <w:sz w:val="24"/>
        </w:rPr>
        <w:t>经济学第二专业学位通过对非经济学专业的学生进行接近于经济学本专业本科生的系统培养，使</w:t>
      </w:r>
      <w:r>
        <w:rPr>
          <w:rFonts w:ascii="宋体" w:hAnsi="宋体" w:eastAsia="宋体"/>
          <w:color w:val="000000" w:themeColor="text1"/>
          <w:sz w:val="24"/>
        </w:rPr>
        <w:t>学生</w:t>
      </w:r>
      <w:r>
        <w:rPr>
          <w:rFonts w:hint="eastAsia"/>
          <w:color w:val="000000" w:themeColor="text1"/>
          <w:sz w:val="24"/>
          <w:szCs w:val="24"/>
        </w:rPr>
        <w:t>具有社会主义核心价值观以及规范使用语言文字意识和应用能力，</w:t>
      </w:r>
      <w:r>
        <w:rPr>
          <w:rFonts w:ascii="宋体" w:hAnsi="宋体"/>
          <w:color w:val="000000" w:themeColor="text1"/>
          <w:sz w:val="24"/>
        </w:rPr>
        <w:t>具备扎实的经济学基本理论，掌握市场经济运行</w:t>
      </w:r>
      <w:r>
        <w:rPr>
          <w:rFonts w:hint="eastAsia" w:ascii="宋体" w:hAnsi="宋体"/>
          <w:color w:val="000000" w:themeColor="text1"/>
          <w:sz w:val="24"/>
        </w:rPr>
        <w:t>规律</w:t>
      </w:r>
      <w:r>
        <w:rPr>
          <w:rFonts w:ascii="宋体" w:hAnsi="宋体"/>
          <w:color w:val="000000" w:themeColor="text1"/>
          <w:sz w:val="24"/>
        </w:rPr>
        <w:t>，能熟练应用现代经济学的主要分析方法进行社会经济调查、经济预测、分析、规划、策划</w:t>
      </w:r>
      <w:r>
        <w:rPr>
          <w:rFonts w:hint="eastAsia" w:ascii="宋体" w:hAnsi="宋体"/>
          <w:color w:val="000000" w:themeColor="text1"/>
          <w:sz w:val="24"/>
        </w:rPr>
        <w:t>，</w:t>
      </w:r>
      <w:r>
        <w:rPr>
          <w:rFonts w:hint="eastAsia" w:ascii="宋体" w:hAnsi="宋体" w:eastAsia="宋体"/>
          <w:color w:val="000000" w:themeColor="text1"/>
          <w:sz w:val="24"/>
        </w:rPr>
        <w:t>为将来从事与经济学有关的工作、或者其他与经济学相关的职业奠定基础。</w:t>
      </w:r>
    </w:p>
    <w:p>
      <w:pPr>
        <w:spacing w:line="360" w:lineRule="auto"/>
        <w:ind w:firstLine="472" w:firstLineChars="196"/>
        <w:rPr>
          <w:b/>
          <w:color w:val="000000" w:themeColor="text1"/>
          <w:sz w:val="24"/>
        </w:rPr>
      </w:pPr>
      <w:r>
        <w:rPr>
          <w:b/>
          <w:color w:val="000000" w:themeColor="text1"/>
          <w:sz w:val="24"/>
        </w:rPr>
        <w:t>二、培养要求</w:t>
      </w:r>
    </w:p>
    <w:p>
      <w:pPr>
        <w:widowControl/>
        <w:spacing w:line="360" w:lineRule="auto"/>
        <w:ind w:firstLine="480" w:firstLineChars="200"/>
        <w:jc w:val="lef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1. 掌握马克思主义、毛泽东思想和中国特色社会主义理论体系；具有良好的思想品德、社会公德、职业道德和个人修养；具有爱岗敬业、遵纪守法和团结合作的品质；具有为国家富强、民族昌盛而奋斗的志向和责任感。</w:t>
      </w:r>
    </w:p>
    <w:p>
      <w:pPr>
        <w:widowControl/>
        <w:spacing w:line="360" w:lineRule="auto"/>
        <w:ind w:firstLine="420" w:firstLineChars="200"/>
        <w:jc w:val="lef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rPr>
        <w:t xml:space="preserve"> </w:t>
      </w:r>
      <w:r>
        <w:rPr>
          <w:rFonts w:ascii="Times New Roman" w:hAnsi="Times New Roman" w:eastAsia="宋体" w:cs="Times New Roman"/>
          <w:color w:val="000000" w:themeColor="text1"/>
          <w:sz w:val="24"/>
        </w:rPr>
        <w:t>2.系统掌握政治经济学、西方经济学、经济思想史方面的理论，熟悉计量经济学、宏观经济分析中的基本工具软件的应用。</w:t>
      </w:r>
    </w:p>
    <w:p>
      <w:pPr>
        <w:widowControl/>
        <w:spacing w:line="360" w:lineRule="auto"/>
        <w:ind w:firstLine="480" w:firstLineChars="200"/>
        <w:jc w:val="left"/>
        <w:rPr>
          <w:rFonts w:ascii="Times New Roman" w:hAnsi="Times New Roman" w:eastAsia="宋体" w:cs="Times New Roman"/>
          <w:color w:val="000000" w:themeColor="text1"/>
          <w:sz w:val="24"/>
        </w:rPr>
      </w:pPr>
      <w:r>
        <w:rPr>
          <w:rFonts w:ascii="Times New Roman" w:hAnsi="Times New Roman" w:eastAsia="宋体" w:cs="Times New Roman"/>
          <w:bCs/>
          <w:color w:val="000000" w:themeColor="text1"/>
          <w:sz w:val="24"/>
        </w:rPr>
        <w:t>3.</w:t>
      </w:r>
      <w:r>
        <w:rPr>
          <w:rFonts w:ascii="Times New Roman" w:hAnsi="Times New Roman" w:eastAsia="宋体" w:cs="Times New Roman"/>
          <w:color w:val="000000" w:themeColor="text1"/>
          <w:sz w:val="24"/>
        </w:rPr>
        <w:t>能够应用本学科基本原理、方法对本专业领域及相关领域问题进行判断、分析和研究，提出相应的对策和建议。</w:t>
      </w:r>
    </w:p>
    <w:p>
      <w:pPr>
        <w:widowControl/>
        <w:spacing w:line="360" w:lineRule="auto"/>
        <w:ind w:firstLine="480" w:firstLineChars="200"/>
        <w:jc w:val="lef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4.具有团队合作精神，能够在本学科及多学科团队活动中发挥个人能力，并能与其他成员进行协调合作。</w:t>
      </w:r>
    </w:p>
    <w:p>
      <w:pPr>
        <w:widowControl/>
        <w:spacing w:line="360" w:lineRule="auto"/>
        <w:ind w:firstLine="480" w:firstLineChars="200"/>
        <w:jc w:val="left"/>
        <w:rPr>
          <w:rFonts w:ascii="Times New Roman" w:hAnsi="Times New Roman" w:eastAsia="宋体" w:cs="Times New Roman"/>
          <w:color w:val="000000" w:themeColor="text1"/>
          <w:sz w:val="24"/>
        </w:rPr>
      </w:pPr>
      <w:r>
        <w:rPr>
          <w:rFonts w:ascii="Times New Roman" w:hAnsi="Times New Roman" w:eastAsia="宋体" w:cs="Times New Roman"/>
          <w:color w:val="000000" w:themeColor="text1"/>
          <w:sz w:val="24"/>
        </w:rPr>
        <w:t>5.具有自主学习和终身学习的意识，有创业和创新能力及较强的适应发展能力。</w:t>
      </w:r>
    </w:p>
    <w:p>
      <w:pPr>
        <w:spacing w:line="360" w:lineRule="auto"/>
        <w:ind w:firstLine="475" w:firstLineChars="197"/>
        <w:rPr>
          <w:b/>
          <w:color w:val="000000" w:themeColor="text1"/>
          <w:sz w:val="24"/>
        </w:rPr>
      </w:pPr>
      <w:r>
        <w:rPr>
          <w:b/>
          <w:color w:val="000000" w:themeColor="text1"/>
          <w:sz w:val="24"/>
        </w:rPr>
        <w:t>三、</w:t>
      </w:r>
      <w:r>
        <w:rPr>
          <w:rFonts w:hint="eastAsia"/>
          <w:b/>
          <w:color w:val="000000" w:themeColor="text1"/>
          <w:sz w:val="24"/>
        </w:rPr>
        <w:t>修读要求与</w:t>
      </w:r>
      <w:r>
        <w:rPr>
          <w:b/>
          <w:color w:val="000000" w:themeColor="text1"/>
          <w:sz w:val="24"/>
        </w:rPr>
        <w:t xml:space="preserve">学位 </w:t>
      </w:r>
    </w:p>
    <w:p>
      <w:pPr>
        <w:adjustRightInd w:val="0"/>
        <w:snapToGrid w:val="0"/>
        <w:spacing w:line="360" w:lineRule="auto"/>
        <w:ind w:firstLine="480" w:firstLineChars="200"/>
        <w:rPr>
          <w:color w:val="000000" w:themeColor="text1"/>
          <w:sz w:val="24"/>
        </w:rPr>
      </w:pPr>
      <w:r>
        <w:rPr>
          <w:rFonts w:hint="eastAsia"/>
          <w:color w:val="000000" w:themeColor="text1"/>
          <w:sz w:val="24"/>
        </w:rPr>
        <w:t>学制两年。凡在修业年限内，修</w:t>
      </w:r>
      <w:r>
        <w:rPr>
          <w:rFonts w:ascii="Times New Roman" w:hAnsi="Times New Roman" w:cs="Times New Roman"/>
          <w:color w:val="000000" w:themeColor="text1"/>
          <w:sz w:val="24"/>
        </w:rPr>
        <w:t>满</w:t>
      </w:r>
      <w:r>
        <w:rPr>
          <w:rFonts w:hint="eastAsia" w:ascii="Times New Roman" w:hAnsi="Times New Roman" w:cs="Times New Roman"/>
          <w:color w:val="000000" w:themeColor="text1"/>
          <w:sz w:val="24"/>
        </w:rPr>
        <w:t>规定的</w:t>
      </w:r>
      <w:r>
        <w:rPr>
          <w:rFonts w:ascii="Times New Roman" w:hAnsi="Times New Roman" w:cs="Times New Roman"/>
          <w:color w:val="000000" w:themeColor="text1"/>
          <w:sz w:val="24"/>
        </w:rPr>
        <w:t>60</w:t>
      </w:r>
      <w:r>
        <w:rPr>
          <w:rFonts w:hint="eastAsia"/>
          <w:color w:val="000000" w:themeColor="text1"/>
          <w:sz w:val="24"/>
        </w:rPr>
        <w:t>学分，且满足相应条件</w:t>
      </w:r>
      <w:r>
        <w:rPr>
          <w:rStyle w:val="10"/>
          <w:color w:val="000000" w:themeColor="text1"/>
          <w:sz w:val="24"/>
        </w:rPr>
        <w:footnoteReference w:id="0"/>
      </w:r>
      <w:r>
        <w:rPr>
          <w:rFonts w:hint="eastAsia"/>
          <w:color w:val="000000" w:themeColor="text1"/>
          <w:sz w:val="24"/>
        </w:rPr>
        <w:t>，达到毕业和授予学士学位要求的，颁发毕业证书和学位证书。</w:t>
      </w:r>
    </w:p>
    <w:p>
      <w:pPr>
        <w:spacing w:line="360" w:lineRule="auto"/>
        <w:ind w:firstLine="475" w:firstLineChars="197"/>
        <w:rPr>
          <w:b/>
          <w:color w:val="000000" w:themeColor="text1"/>
          <w:sz w:val="24"/>
        </w:rPr>
      </w:pPr>
      <w:r>
        <w:rPr>
          <w:b/>
          <w:color w:val="000000" w:themeColor="text1"/>
          <w:sz w:val="24"/>
        </w:rPr>
        <w:t>四</w:t>
      </w:r>
      <w:r>
        <w:rPr>
          <w:rFonts w:hint="eastAsia"/>
          <w:b/>
          <w:color w:val="000000" w:themeColor="text1"/>
          <w:sz w:val="24"/>
        </w:rPr>
        <w:t>、教学计划表</w:t>
      </w:r>
    </w:p>
    <w:p>
      <w:pPr>
        <w:rPr>
          <w:color w:val="000000" w:themeColor="text1"/>
        </w:rPr>
      </w:pPr>
    </w:p>
    <w:tbl>
      <w:tblPr>
        <w:tblStyle w:val="7"/>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092"/>
        <w:gridCol w:w="2189"/>
        <w:gridCol w:w="567"/>
        <w:gridCol w:w="567"/>
        <w:gridCol w:w="567"/>
        <w:gridCol w:w="567"/>
        <w:gridCol w:w="117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09" w:type="dxa"/>
            <w:vMerge w:val="restart"/>
            <w:vAlign w:val="center"/>
          </w:tcPr>
          <w:p>
            <w:pPr>
              <w:jc w:val="center"/>
              <w:rPr>
                <w:b/>
                <w:color w:val="000000" w:themeColor="text1"/>
                <w:szCs w:val="21"/>
              </w:rPr>
            </w:pPr>
            <w:r>
              <w:rPr>
                <w:rFonts w:hAnsi="宋体"/>
                <w:b/>
                <w:color w:val="000000" w:themeColor="text1"/>
                <w:szCs w:val="21"/>
              </w:rPr>
              <w:t>课程类型</w:t>
            </w:r>
          </w:p>
        </w:tc>
        <w:tc>
          <w:tcPr>
            <w:tcW w:w="1092" w:type="dxa"/>
            <w:vMerge w:val="restart"/>
            <w:vAlign w:val="center"/>
          </w:tcPr>
          <w:p>
            <w:pPr>
              <w:adjustRightInd w:val="0"/>
              <w:snapToGrid w:val="0"/>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课程代码</w:t>
            </w:r>
          </w:p>
        </w:tc>
        <w:tc>
          <w:tcPr>
            <w:tcW w:w="2189" w:type="dxa"/>
            <w:vMerge w:val="restart"/>
            <w:vAlign w:val="center"/>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课程名称</w:t>
            </w:r>
          </w:p>
        </w:tc>
        <w:tc>
          <w:tcPr>
            <w:tcW w:w="2268" w:type="dxa"/>
            <w:gridSpan w:val="4"/>
            <w:vAlign w:val="center"/>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开设学期/周学时</w:t>
            </w:r>
          </w:p>
        </w:tc>
        <w:tc>
          <w:tcPr>
            <w:tcW w:w="1170" w:type="dxa"/>
            <w:vMerge w:val="restart"/>
            <w:vAlign w:val="center"/>
          </w:tcPr>
          <w:p>
            <w:pPr>
              <w:jc w:val="center"/>
              <w:rPr>
                <w:b/>
                <w:color w:val="000000" w:themeColor="text1"/>
                <w:szCs w:val="21"/>
              </w:rPr>
            </w:pPr>
            <w:r>
              <w:rPr>
                <w:rFonts w:hint="eastAsia" w:hAnsi="宋体"/>
                <w:b/>
                <w:color w:val="000000" w:themeColor="text1"/>
                <w:szCs w:val="21"/>
              </w:rPr>
              <w:t>课程</w:t>
            </w:r>
            <w:r>
              <w:rPr>
                <w:rFonts w:hAnsi="宋体"/>
                <w:b/>
                <w:color w:val="000000" w:themeColor="text1"/>
                <w:szCs w:val="21"/>
              </w:rPr>
              <w:t>承担单位</w:t>
            </w:r>
          </w:p>
        </w:tc>
        <w:tc>
          <w:tcPr>
            <w:tcW w:w="709" w:type="dxa"/>
            <w:vMerge w:val="restart"/>
            <w:vAlign w:val="center"/>
          </w:tcPr>
          <w:p>
            <w:pPr>
              <w:jc w:val="center"/>
              <w:rPr>
                <w:rFonts w:hAnsi="宋体"/>
                <w:b/>
                <w:color w:val="000000" w:themeColor="text1"/>
                <w:szCs w:val="21"/>
              </w:rPr>
            </w:pPr>
            <w:r>
              <w:rPr>
                <w:rFonts w:hint="eastAsia" w:hAnsi="宋体"/>
                <w:b/>
                <w:color w:val="000000" w:themeColor="text1"/>
                <w:szCs w:val="21"/>
              </w:rPr>
              <w:t>考试类型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09" w:type="dxa"/>
            <w:vMerge w:val="continue"/>
            <w:vAlign w:val="center"/>
          </w:tcPr>
          <w:p>
            <w:pPr>
              <w:jc w:val="center"/>
              <w:rPr>
                <w:b/>
                <w:color w:val="000000" w:themeColor="text1"/>
                <w:szCs w:val="21"/>
              </w:rPr>
            </w:pPr>
          </w:p>
        </w:tc>
        <w:tc>
          <w:tcPr>
            <w:tcW w:w="1092" w:type="dxa"/>
            <w:vMerge w:val="continue"/>
            <w:vAlign w:val="center"/>
          </w:tcPr>
          <w:p>
            <w:pPr>
              <w:jc w:val="center"/>
              <w:rPr>
                <w:rFonts w:ascii="Times New Roman" w:hAnsi="Times New Roman" w:cs="Times New Roman"/>
                <w:b/>
                <w:color w:val="000000" w:themeColor="text1"/>
                <w:szCs w:val="21"/>
              </w:rPr>
            </w:pPr>
          </w:p>
        </w:tc>
        <w:tc>
          <w:tcPr>
            <w:tcW w:w="2189" w:type="dxa"/>
            <w:vMerge w:val="continue"/>
            <w:vAlign w:val="center"/>
          </w:tcPr>
          <w:p>
            <w:pPr>
              <w:rPr>
                <w:rFonts w:ascii="Times New Roman" w:hAnsi="Times New Roman" w:cs="Times New Roman"/>
                <w:b/>
                <w:color w:val="000000" w:themeColor="text1"/>
                <w:szCs w:val="21"/>
              </w:rPr>
            </w:pPr>
          </w:p>
        </w:tc>
        <w:tc>
          <w:tcPr>
            <w:tcW w:w="567" w:type="dxa"/>
            <w:vAlign w:val="center"/>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1</w:t>
            </w:r>
          </w:p>
        </w:tc>
        <w:tc>
          <w:tcPr>
            <w:tcW w:w="567" w:type="dxa"/>
            <w:tcMar>
              <w:top w:w="0" w:type="dxa"/>
              <w:bottom w:w="0" w:type="dxa"/>
            </w:tcMar>
            <w:vAlign w:val="center"/>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2</w:t>
            </w:r>
          </w:p>
        </w:tc>
        <w:tc>
          <w:tcPr>
            <w:tcW w:w="567" w:type="dxa"/>
            <w:tcMar>
              <w:top w:w="0" w:type="dxa"/>
              <w:bottom w:w="0" w:type="dxa"/>
            </w:tcMar>
            <w:vAlign w:val="center"/>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3</w:t>
            </w:r>
          </w:p>
        </w:tc>
        <w:tc>
          <w:tcPr>
            <w:tcW w:w="567" w:type="dxa"/>
            <w:tcMar>
              <w:top w:w="0" w:type="dxa"/>
              <w:bottom w:w="0" w:type="dxa"/>
            </w:tcMar>
            <w:vAlign w:val="center"/>
          </w:tcPr>
          <w:p>
            <w:pPr>
              <w:jc w:val="center"/>
              <w:rPr>
                <w:rFonts w:ascii="Times New Roman" w:hAnsi="Times New Roman" w:cs="Times New Roman"/>
                <w:b/>
                <w:color w:val="000000" w:themeColor="text1"/>
                <w:szCs w:val="21"/>
              </w:rPr>
            </w:pPr>
            <w:r>
              <w:rPr>
                <w:rFonts w:ascii="Times New Roman" w:hAnsi="Times New Roman" w:cs="Times New Roman"/>
                <w:b/>
                <w:color w:val="000000" w:themeColor="text1"/>
                <w:szCs w:val="21"/>
              </w:rPr>
              <w:t>4</w:t>
            </w:r>
          </w:p>
        </w:tc>
        <w:tc>
          <w:tcPr>
            <w:tcW w:w="1170" w:type="dxa"/>
            <w:vMerge w:val="continue"/>
            <w:vAlign w:val="center"/>
          </w:tcPr>
          <w:p>
            <w:pPr>
              <w:jc w:val="center"/>
              <w:rPr>
                <w:b/>
                <w:color w:val="000000" w:themeColor="text1"/>
                <w:szCs w:val="21"/>
              </w:rPr>
            </w:pPr>
          </w:p>
        </w:tc>
        <w:tc>
          <w:tcPr>
            <w:tcW w:w="709" w:type="dxa"/>
            <w:vMerge w:val="continue"/>
            <w:vAlign w:val="center"/>
          </w:tcPr>
          <w:p>
            <w:pPr>
              <w:adjustRightInd w:val="0"/>
              <w:snapToGrid w:val="0"/>
              <w:jc w:val="center"/>
              <w:rPr>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109" w:type="dxa"/>
            <w:vAlign w:val="center"/>
          </w:tcPr>
          <w:p>
            <w:pPr>
              <w:adjustRightInd w:val="0"/>
              <w:snapToGrid w:val="0"/>
              <w:jc w:val="center"/>
              <w:rPr>
                <w:color w:val="000000" w:themeColor="text1"/>
                <w:szCs w:val="21"/>
              </w:rPr>
            </w:pPr>
            <w:r>
              <w:rPr>
                <w:rFonts w:hint="eastAsia"/>
                <w:color w:val="000000" w:themeColor="text1"/>
                <w:szCs w:val="21"/>
              </w:rPr>
              <w:t>思想政治类</w:t>
            </w: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060102B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习近平新时代中国特色社会主义思想概论Xi Jinping Thought on Socialism</w:t>
            </w:r>
            <w:r>
              <w:rPr>
                <w:rFonts w:hint="eastAsia" w:ascii="Times New Roman" w:hAnsi="Times New Roman" w:cs="Times New Roman"/>
                <w:color w:val="000000" w:themeColor="text1"/>
                <w:szCs w:val="21"/>
              </w:rPr>
              <w:t xml:space="preserve"> </w:t>
            </w:r>
            <w:r>
              <w:rPr>
                <w:rFonts w:ascii="Times New Roman" w:hAnsi="Times New Roman" w:cs="Times New Roman"/>
                <w:color w:val="000000" w:themeColor="text1"/>
                <w:szCs w:val="21"/>
              </w:rPr>
              <w:t>with Chinese Characteristics for a New Era</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rFonts w:hint="eastAsia"/>
                <w:color w:val="000000" w:themeColor="text1"/>
                <w:szCs w:val="21"/>
              </w:rPr>
              <w:t>马克思主义学院</w:t>
            </w:r>
          </w:p>
        </w:tc>
        <w:tc>
          <w:tcPr>
            <w:tcW w:w="709"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restart"/>
            <w:vAlign w:val="center"/>
          </w:tcPr>
          <w:p>
            <w:pPr>
              <w:jc w:val="center"/>
              <w:rPr>
                <w:color w:val="000000" w:themeColor="text1"/>
                <w:szCs w:val="21"/>
              </w:rPr>
            </w:pPr>
            <w:r>
              <w:rPr>
                <w:rFonts w:hint="eastAsia"/>
                <w:color w:val="000000" w:themeColor="text1"/>
                <w:szCs w:val="21"/>
              </w:rPr>
              <w:t>学科基础课</w:t>
            </w: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030023A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政治经济学Political Economy </w:t>
            </w: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pPr>
              <w:jc w:val="center"/>
              <w:rPr>
                <w:color w:val="000000" w:themeColor="text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030123A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微观经济学</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Microeconomics</w:t>
            </w: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pPr>
              <w:jc w:val="center"/>
              <w:rPr>
                <w:color w:val="000000" w:themeColor="text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120263A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统计学</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Statistics </w:t>
            </w: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统计学院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pPr>
              <w:jc w:val="center"/>
              <w:rPr>
                <w:color w:val="000000" w:themeColor="text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090013A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财政学</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Public Finance</w:t>
            </w: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财税学院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pPr>
              <w:jc w:val="center"/>
              <w:rPr>
                <w:color w:val="000000" w:themeColor="text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040033A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会计学</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Accounting</w:t>
            </w: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会计学院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pPr>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030073A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宏观经济学</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Macroeconomics</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pPr>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030083A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计量经济学</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Econometrics</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109" w:type="dxa"/>
            <w:vMerge w:val="continue"/>
            <w:vAlign w:val="center"/>
          </w:tcPr>
          <w:p>
            <w:pPr>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113633A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金融学</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Finance</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金融学院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restart"/>
            <w:vAlign w:val="center"/>
          </w:tcPr>
          <w:p>
            <w:pPr>
              <w:adjustRightInd w:val="0"/>
              <w:snapToGrid w:val="0"/>
              <w:rPr>
                <w:color w:val="000000" w:themeColor="text1"/>
                <w:szCs w:val="21"/>
              </w:rPr>
            </w:pPr>
          </w:p>
          <w:p>
            <w:pPr>
              <w:adjustRightInd w:val="0"/>
              <w:snapToGrid w:val="0"/>
              <w:rPr>
                <w:color w:val="000000" w:themeColor="text1"/>
                <w:szCs w:val="21"/>
              </w:rPr>
            </w:pPr>
            <w:r>
              <w:rPr>
                <w:rFonts w:hint="eastAsia"/>
                <w:color w:val="000000" w:themeColor="text1"/>
                <w:szCs w:val="21"/>
              </w:rPr>
              <w:t>专业核心课</w:t>
            </w: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0321042B</w:t>
            </w:r>
          </w:p>
        </w:tc>
        <w:tc>
          <w:tcPr>
            <w:tcW w:w="2189" w:type="dxa"/>
            <w:vAlign w:val="center"/>
          </w:tcPr>
          <w:p>
            <w:pP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 xml:space="preserve">中国特色社会主义政治经济学  </w:t>
            </w:r>
          </w:p>
          <w:p>
            <w:pP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Socialist Political Economy with Chinese Characteristices</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rFonts w:hint="eastAsia"/>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pPr>
              <w:jc w:val="center"/>
              <w:rPr>
                <w:color w:val="000000" w:themeColor="text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030172B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发展经济学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Development Economy</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rFonts w:hint="eastAsia"/>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pPr>
              <w:jc w:val="center"/>
              <w:rPr>
                <w:color w:val="000000" w:themeColor="text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030342A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世界经济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World Economy</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pPr>
              <w:jc w:val="center"/>
              <w:rPr>
                <w:color w:val="000000" w:themeColor="text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030152A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产业经济学</w:t>
            </w:r>
          </w:p>
          <w:p>
            <w:pPr>
              <w:widowControl/>
              <w:spacing w:line="375" w:lineRule="atLeast"/>
              <w:rPr>
                <w:rFonts w:ascii="Times New Roman" w:hAnsi="Times New Roman" w:eastAsia="微软雅黑" w:cs="Times New Roman"/>
                <w:color w:val="000000" w:themeColor="text1"/>
                <w:kern w:val="0"/>
                <w:szCs w:val="21"/>
              </w:rPr>
            </w:pPr>
            <w:r>
              <w:rPr>
                <w:rFonts w:ascii="Times New Roman" w:hAnsi="Times New Roman" w:eastAsia="微软雅黑" w:cs="Times New Roman"/>
                <w:color w:val="000000" w:themeColor="text1"/>
                <w:szCs w:val="21"/>
              </w:rPr>
              <w:t>Industry Economics</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pPr>
              <w:jc w:val="center"/>
              <w:rPr>
                <w:color w:val="000000" w:themeColor="text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031492B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经济思想史</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History of Economic Thoughts</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rFonts w:hint="eastAsia"/>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pPr>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030063A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国际经济学（双语）International Economics (Bilingual)</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pPr>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110103A</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国际金融学（双语）International Finance (Bilingual)</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金融学院</w:t>
            </w:r>
          </w:p>
        </w:tc>
        <w:tc>
          <w:tcPr>
            <w:tcW w:w="709" w:type="dxa"/>
            <w:vAlign w:val="center"/>
          </w:tcPr>
          <w:p>
            <w:pPr>
              <w:jc w:val="center"/>
              <w:rPr>
                <w:color w:val="000000" w:themeColor="text1"/>
                <w:szCs w:val="21"/>
              </w:rPr>
            </w:pPr>
            <w:r>
              <w:rPr>
                <w:color w:val="000000" w:themeColor="text1"/>
                <w:szCs w:val="21"/>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09" w:type="dxa"/>
            <w:vMerge w:val="continue"/>
            <w:vAlign w:val="center"/>
          </w:tcPr>
          <w:p>
            <w:pPr>
              <w:jc w:val="center"/>
              <w:rPr>
                <w:color w:val="000000" w:themeColor="text1"/>
                <w:szCs w:val="21"/>
              </w:rPr>
            </w:pPr>
          </w:p>
        </w:tc>
        <w:tc>
          <w:tcPr>
            <w:tcW w:w="3281" w:type="dxa"/>
            <w:gridSpan w:val="2"/>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必修课</w:t>
            </w:r>
            <w:r>
              <w:rPr>
                <w:rFonts w:ascii="Times New Roman" w:hAnsi="Times New Roman" w:cs="Times New Roman"/>
                <w:color w:val="000000" w:themeColor="text1"/>
                <w:szCs w:val="21"/>
              </w:rPr>
              <w:t>小计</w:t>
            </w:r>
          </w:p>
        </w:tc>
        <w:tc>
          <w:tcPr>
            <w:tcW w:w="567" w:type="dxa"/>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w:t>
            </w:r>
            <w:r>
              <w:rPr>
                <w:rFonts w:ascii="Times New Roman" w:hAnsi="Times New Roman" w:cs="Times New Roman"/>
                <w:color w:val="000000" w:themeColor="text1"/>
                <w:szCs w:val="21"/>
              </w:rPr>
              <w:t>5</w:t>
            </w:r>
          </w:p>
        </w:tc>
        <w:tc>
          <w:tcPr>
            <w:tcW w:w="567" w:type="dxa"/>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21</w:t>
            </w:r>
          </w:p>
        </w:tc>
        <w:tc>
          <w:tcPr>
            <w:tcW w:w="567" w:type="dxa"/>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6</w:t>
            </w: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p>
        </w:tc>
        <w:tc>
          <w:tcPr>
            <w:tcW w:w="709"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restart"/>
            <w:vAlign w:val="center"/>
          </w:tcPr>
          <w:p>
            <w:pPr>
              <w:adjustRightInd w:val="0"/>
              <w:snapToGrid w:val="0"/>
              <w:jc w:val="center"/>
              <w:rPr>
                <w:color w:val="000000" w:themeColor="text1"/>
                <w:szCs w:val="21"/>
              </w:rPr>
            </w:pPr>
            <w:r>
              <w:rPr>
                <w:rFonts w:hint="eastAsia"/>
                <w:color w:val="000000" w:themeColor="text1"/>
                <w:szCs w:val="21"/>
              </w:rPr>
              <w:t>专业提升课</w:t>
            </w: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020012B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管理学</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Management</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工商学院</w:t>
            </w:r>
          </w:p>
        </w:tc>
        <w:tc>
          <w:tcPr>
            <w:tcW w:w="709" w:type="dxa"/>
            <w:vAlign w:val="center"/>
          </w:tcPr>
          <w:p>
            <w:pPr>
              <w:jc w:val="center"/>
              <w:rPr>
                <w:color w:val="000000" w:themeColor="text1"/>
                <w:szCs w:val="21"/>
              </w:rPr>
            </w:pPr>
            <w:r>
              <w:rPr>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pPr>
              <w:adjustRightInd w:val="0"/>
              <w:snapToGrid w:val="0"/>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100052B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经济法</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Economic Laws</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法学院</w:t>
            </w:r>
          </w:p>
        </w:tc>
        <w:tc>
          <w:tcPr>
            <w:tcW w:w="709" w:type="dxa"/>
            <w:vAlign w:val="center"/>
          </w:tcPr>
          <w:p>
            <w:pPr>
              <w:jc w:val="center"/>
              <w:rPr>
                <w:color w:val="000000" w:themeColor="text1"/>
                <w:szCs w:val="21"/>
              </w:rPr>
            </w:pPr>
            <w:r>
              <w:rPr>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pPr>
              <w:adjustRightInd w:val="0"/>
              <w:snapToGrid w:val="0"/>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0321082B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欧美经济史</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European and American Economic History </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rFonts w:hint="eastAsia"/>
                <w:color w:val="000000" w:themeColor="text1"/>
                <w:szCs w:val="21"/>
              </w:rPr>
              <w:t>经济学院</w:t>
            </w:r>
          </w:p>
        </w:tc>
        <w:tc>
          <w:tcPr>
            <w:tcW w:w="709" w:type="dxa"/>
            <w:vAlign w:val="center"/>
          </w:tcPr>
          <w:p>
            <w:pPr>
              <w:jc w:val="center"/>
              <w:rPr>
                <w:color w:val="000000" w:themeColor="text1"/>
                <w:szCs w:val="21"/>
              </w:rPr>
            </w:pPr>
            <w:r>
              <w:rPr>
                <w:rFonts w:hint="eastAsia"/>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pPr>
              <w:adjustRightInd w:val="0"/>
              <w:snapToGrid w:val="0"/>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030372B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新制度经济学</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New Institutional</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Economics</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pPr>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030412B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博弈论与信息经济学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Game Theory and</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Information Economics</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pPr>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030542B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经济数学方法</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Economic-Mathematical Method</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pPr>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030502B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计量经济学实验</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Class of Econometrics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Experiment</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pPr>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031582B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经济预测</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Economic Forecast</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pPr>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031252B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期货贸易</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Futures</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经济学院</w:t>
            </w:r>
          </w:p>
        </w:tc>
        <w:tc>
          <w:tcPr>
            <w:tcW w:w="709" w:type="dxa"/>
            <w:vAlign w:val="center"/>
          </w:tcPr>
          <w:p>
            <w:pPr>
              <w:jc w:val="center"/>
              <w:rPr>
                <w:color w:val="000000" w:themeColor="text1"/>
                <w:szCs w:val="21"/>
              </w:rPr>
            </w:pPr>
            <w:r>
              <w:rPr>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pPr>
              <w:jc w:val="center"/>
              <w:rPr>
                <w:color w:val="000000" w:themeColor="text1"/>
                <w:szCs w:val="21"/>
              </w:rPr>
            </w:pPr>
          </w:p>
        </w:tc>
        <w:tc>
          <w:tcPr>
            <w:tcW w:w="1092"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040012B</w:t>
            </w:r>
          </w:p>
        </w:tc>
        <w:tc>
          <w:tcPr>
            <w:tcW w:w="2189" w:type="dxa"/>
            <w:vAlign w:val="center"/>
          </w:tcPr>
          <w:p>
            <w:pPr>
              <w:rPr>
                <w:rFonts w:ascii="Times New Roman" w:hAnsi="Times New Roman" w:cs="Times New Roman"/>
                <w:color w:val="000000" w:themeColor="text1"/>
                <w:szCs w:val="21"/>
              </w:rPr>
            </w:pPr>
            <w:r>
              <w:rPr>
                <w:rFonts w:ascii="Times New Roman" w:hAnsi="Times New Roman" w:cs="Times New Roman"/>
                <w:color w:val="000000" w:themeColor="text1"/>
                <w:szCs w:val="21"/>
              </w:rPr>
              <w:t>财务管理学</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Corporate Finance</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2</w:t>
            </w: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r>
              <w:rPr>
                <w:color w:val="000000" w:themeColor="text1"/>
                <w:szCs w:val="21"/>
              </w:rPr>
              <w:t>会计学院</w:t>
            </w:r>
          </w:p>
        </w:tc>
        <w:tc>
          <w:tcPr>
            <w:tcW w:w="709" w:type="dxa"/>
            <w:vAlign w:val="center"/>
          </w:tcPr>
          <w:p>
            <w:pPr>
              <w:jc w:val="center"/>
              <w:rPr>
                <w:color w:val="000000" w:themeColor="text1"/>
                <w:szCs w:val="21"/>
              </w:rPr>
            </w:pPr>
            <w:r>
              <w:rPr>
                <w:color w:val="000000" w:themeColor="text1"/>
                <w:szCs w:val="21"/>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pPr>
              <w:jc w:val="center"/>
              <w:rPr>
                <w:color w:val="000000" w:themeColor="text1"/>
                <w:szCs w:val="21"/>
              </w:rPr>
            </w:pPr>
          </w:p>
        </w:tc>
        <w:tc>
          <w:tcPr>
            <w:tcW w:w="3281" w:type="dxa"/>
            <w:gridSpan w:val="2"/>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选修课小计</w:t>
            </w: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w:t>
            </w: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6</w:t>
            </w:r>
          </w:p>
        </w:tc>
        <w:tc>
          <w:tcPr>
            <w:tcW w:w="567" w:type="dxa"/>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14</w:t>
            </w:r>
          </w:p>
        </w:tc>
        <w:tc>
          <w:tcPr>
            <w:tcW w:w="567" w:type="dxa"/>
            <w:vAlign w:val="center"/>
          </w:tcPr>
          <w:p>
            <w:pPr>
              <w:jc w:val="center"/>
              <w:rPr>
                <w:rFonts w:ascii="Times New Roman" w:hAnsi="Times New Roman" w:cs="Times New Roman"/>
                <w:color w:val="000000" w:themeColor="text1"/>
                <w:szCs w:val="21"/>
              </w:rPr>
            </w:pPr>
          </w:p>
        </w:tc>
        <w:tc>
          <w:tcPr>
            <w:tcW w:w="1170" w:type="dxa"/>
            <w:vAlign w:val="center"/>
          </w:tcPr>
          <w:p>
            <w:pPr>
              <w:jc w:val="center"/>
              <w:rPr>
                <w:color w:val="000000" w:themeColor="text1"/>
                <w:szCs w:val="21"/>
              </w:rPr>
            </w:pPr>
          </w:p>
        </w:tc>
        <w:tc>
          <w:tcPr>
            <w:tcW w:w="709"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09" w:type="dxa"/>
            <w:vMerge w:val="continue"/>
            <w:vAlign w:val="center"/>
          </w:tcPr>
          <w:p>
            <w:pPr>
              <w:jc w:val="center"/>
              <w:rPr>
                <w:color w:val="000000" w:themeColor="text1"/>
                <w:szCs w:val="21"/>
              </w:rPr>
            </w:pPr>
          </w:p>
        </w:tc>
        <w:tc>
          <w:tcPr>
            <w:tcW w:w="7428" w:type="dxa"/>
            <w:gridSpan w:val="8"/>
            <w:vAlign w:val="center"/>
          </w:tcPr>
          <w:p>
            <w:pPr>
              <w:jc w:val="center"/>
              <w:rPr>
                <w:color w:val="000000" w:themeColor="text1"/>
                <w:szCs w:val="21"/>
              </w:rPr>
            </w:pPr>
            <w:r>
              <w:rPr>
                <w:rFonts w:ascii="Times New Roman" w:hAnsi="Times New Roman" w:cs="Times New Roman"/>
                <w:color w:val="000000" w:themeColor="text1"/>
                <w:szCs w:val="21"/>
              </w:rPr>
              <w:t>专业选修课至少要选够</w:t>
            </w:r>
            <w:r>
              <w:rPr>
                <w:rFonts w:hint="eastAsia" w:ascii="Times New Roman" w:hAnsi="Times New Roman" w:cs="Times New Roman"/>
                <w:color w:val="000000" w:themeColor="text1"/>
                <w:szCs w:val="21"/>
              </w:rPr>
              <w:t>1</w:t>
            </w:r>
            <w:r>
              <w:rPr>
                <w:rFonts w:ascii="Times New Roman" w:hAnsi="Times New Roman" w:cs="Times New Roman"/>
                <w:color w:val="000000" w:themeColor="text1"/>
                <w:szCs w:val="21"/>
              </w:rPr>
              <w:t>4学分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1109" w:type="dxa"/>
            <w:vAlign w:val="center"/>
          </w:tcPr>
          <w:p>
            <w:pPr>
              <w:rPr>
                <w:color w:val="000000" w:themeColor="text1"/>
                <w:szCs w:val="21"/>
              </w:rPr>
            </w:pPr>
            <w:r>
              <w:rPr>
                <w:rFonts w:hint="eastAsia"/>
                <w:color w:val="000000" w:themeColor="text1"/>
                <w:szCs w:val="21"/>
              </w:rPr>
              <w:t>毕业环节</w:t>
            </w:r>
          </w:p>
        </w:tc>
        <w:tc>
          <w:tcPr>
            <w:tcW w:w="3281" w:type="dxa"/>
            <w:gridSpan w:val="2"/>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毕业论文（设计）或者岗位实习报告</w:t>
            </w: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4</w:t>
            </w:r>
          </w:p>
        </w:tc>
        <w:tc>
          <w:tcPr>
            <w:tcW w:w="1170" w:type="dxa"/>
            <w:vAlign w:val="center"/>
          </w:tcPr>
          <w:p>
            <w:pPr>
              <w:jc w:val="center"/>
              <w:rPr>
                <w:color w:val="000000" w:themeColor="text1"/>
                <w:szCs w:val="21"/>
              </w:rPr>
            </w:pPr>
          </w:p>
        </w:tc>
        <w:tc>
          <w:tcPr>
            <w:tcW w:w="709" w:type="dxa"/>
            <w:vAlign w:val="center"/>
          </w:tcPr>
          <w:p>
            <w:pPr>
              <w:jc w:val="center"/>
              <w:rPr>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4390" w:type="dxa"/>
            <w:gridSpan w:val="3"/>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总计</w:t>
            </w:r>
          </w:p>
        </w:tc>
        <w:tc>
          <w:tcPr>
            <w:tcW w:w="567" w:type="dxa"/>
            <w:vAlign w:val="center"/>
          </w:tcPr>
          <w:p>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w:t>
            </w:r>
          </w:p>
        </w:tc>
        <w:tc>
          <w:tcPr>
            <w:tcW w:w="567" w:type="dxa"/>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w:t>
            </w:r>
            <w:r>
              <w:rPr>
                <w:rFonts w:ascii="Times New Roman" w:hAnsi="Times New Roman" w:cs="Times New Roman"/>
                <w:color w:val="000000" w:themeColor="text1"/>
                <w:szCs w:val="21"/>
              </w:rPr>
              <w:t>7</w:t>
            </w:r>
          </w:p>
        </w:tc>
        <w:tc>
          <w:tcPr>
            <w:tcW w:w="567" w:type="dxa"/>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20</w:t>
            </w:r>
          </w:p>
        </w:tc>
        <w:tc>
          <w:tcPr>
            <w:tcW w:w="567" w:type="dxa"/>
            <w:vAlign w:val="center"/>
          </w:tcPr>
          <w:p>
            <w:pPr>
              <w:jc w:val="center"/>
              <w:rPr>
                <w:rFonts w:ascii="Times New Roman" w:hAnsi="Times New Roman" w:cs="Times New Roman"/>
                <w:color w:val="000000" w:themeColor="text1"/>
                <w:szCs w:val="21"/>
              </w:rPr>
            </w:pPr>
            <w:r>
              <w:rPr>
                <w:rFonts w:hint="eastAsia" w:ascii="Times New Roman" w:hAnsi="Times New Roman" w:cs="Times New Roman"/>
                <w:color w:val="000000" w:themeColor="text1"/>
                <w:szCs w:val="21"/>
              </w:rPr>
              <w:t>4</w:t>
            </w:r>
          </w:p>
        </w:tc>
        <w:tc>
          <w:tcPr>
            <w:tcW w:w="1170" w:type="dxa"/>
            <w:vAlign w:val="center"/>
          </w:tcPr>
          <w:p>
            <w:pPr>
              <w:jc w:val="center"/>
              <w:rPr>
                <w:color w:val="000000" w:themeColor="text1"/>
                <w:szCs w:val="21"/>
              </w:rPr>
            </w:pPr>
          </w:p>
        </w:tc>
        <w:tc>
          <w:tcPr>
            <w:tcW w:w="709" w:type="dxa"/>
            <w:vAlign w:val="center"/>
          </w:tcPr>
          <w:p>
            <w:pPr>
              <w:jc w:val="center"/>
              <w:rPr>
                <w:color w:val="000000" w:themeColor="text1"/>
                <w:szCs w:val="21"/>
              </w:rPr>
            </w:pPr>
          </w:p>
        </w:tc>
      </w:tr>
    </w:tbl>
    <w:p>
      <w:pPr>
        <w:rPr>
          <w:color w:val="000000" w:themeColor="text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6"/>
      </w:pPr>
      <w:r>
        <w:rPr>
          <w:rStyle w:val="10"/>
        </w:rPr>
        <w:footnoteRef/>
      </w:r>
      <w:r>
        <w:rPr>
          <w:rFonts w:hint="eastAsia" w:ascii="微软雅黑" w:hAnsi="微软雅黑" w:eastAsia="微软雅黑"/>
          <w:color w:val="4B4B4B"/>
        </w:rPr>
        <w:t>第二</w:t>
      </w:r>
      <w:r>
        <w:rPr>
          <w:rFonts w:ascii="微软雅黑" w:hAnsi="微软雅黑" w:eastAsia="微软雅黑"/>
          <w:color w:val="4B4B4B"/>
        </w:rPr>
        <w:t>学士学位</w:t>
      </w:r>
      <w:r>
        <w:rPr>
          <w:rFonts w:hint="eastAsia" w:ascii="微软雅黑" w:hAnsi="微软雅黑" w:eastAsia="微软雅黑"/>
          <w:color w:val="4B4B4B"/>
        </w:rPr>
        <w:t>须与原本科专业分属不同学科门类；或与原本科专业属于同一学科门类、但不属于同一本科专业类。</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5D120386"/>
    <w:rsid w:val="00003234"/>
    <w:rsid w:val="00003DF5"/>
    <w:rsid w:val="00017573"/>
    <w:rsid w:val="00020287"/>
    <w:rsid w:val="00042525"/>
    <w:rsid w:val="0006498C"/>
    <w:rsid w:val="0006722C"/>
    <w:rsid w:val="000720B1"/>
    <w:rsid w:val="00073FE0"/>
    <w:rsid w:val="00084739"/>
    <w:rsid w:val="001562F3"/>
    <w:rsid w:val="00166526"/>
    <w:rsid w:val="001B62B9"/>
    <w:rsid w:val="00234F80"/>
    <w:rsid w:val="00245F0F"/>
    <w:rsid w:val="00284EC1"/>
    <w:rsid w:val="002C3DDB"/>
    <w:rsid w:val="002C57D9"/>
    <w:rsid w:val="002D0C6D"/>
    <w:rsid w:val="002F6DF9"/>
    <w:rsid w:val="00304F5D"/>
    <w:rsid w:val="00307EE0"/>
    <w:rsid w:val="00352679"/>
    <w:rsid w:val="00364F7D"/>
    <w:rsid w:val="00373816"/>
    <w:rsid w:val="00377921"/>
    <w:rsid w:val="0038286B"/>
    <w:rsid w:val="0039337F"/>
    <w:rsid w:val="00407661"/>
    <w:rsid w:val="00415DBA"/>
    <w:rsid w:val="00443CF2"/>
    <w:rsid w:val="00445184"/>
    <w:rsid w:val="0045193B"/>
    <w:rsid w:val="0045486A"/>
    <w:rsid w:val="00474244"/>
    <w:rsid w:val="00484CD9"/>
    <w:rsid w:val="0050590D"/>
    <w:rsid w:val="00513A2B"/>
    <w:rsid w:val="00537ECD"/>
    <w:rsid w:val="00561DFA"/>
    <w:rsid w:val="00575E33"/>
    <w:rsid w:val="005819A3"/>
    <w:rsid w:val="0059264A"/>
    <w:rsid w:val="005A57FD"/>
    <w:rsid w:val="005B308D"/>
    <w:rsid w:val="005B776B"/>
    <w:rsid w:val="005D1419"/>
    <w:rsid w:val="006230FB"/>
    <w:rsid w:val="00635915"/>
    <w:rsid w:val="00647A79"/>
    <w:rsid w:val="00694304"/>
    <w:rsid w:val="006A4E99"/>
    <w:rsid w:val="006D25C2"/>
    <w:rsid w:val="00701C51"/>
    <w:rsid w:val="007220C7"/>
    <w:rsid w:val="007239B7"/>
    <w:rsid w:val="0073568C"/>
    <w:rsid w:val="00754922"/>
    <w:rsid w:val="00755E93"/>
    <w:rsid w:val="00777E75"/>
    <w:rsid w:val="0078506B"/>
    <w:rsid w:val="0078545A"/>
    <w:rsid w:val="007D5128"/>
    <w:rsid w:val="007F555E"/>
    <w:rsid w:val="00806379"/>
    <w:rsid w:val="008159D7"/>
    <w:rsid w:val="00850A9A"/>
    <w:rsid w:val="0086009A"/>
    <w:rsid w:val="0086102E"/>
    <w:rsid w:val="00862FBB"/>
    <w:rsid w:val="00865F12"/>
    <w:rsid w:val="0087413B"/>
    <w:rsid w:val="008A5CE1"/>
    <w:rsid w:val="008B166B"/>
    <w:rsid w:val="00903234"/>
    <w:rsid w:val="00910F57"/>
    <w:rsid w:val="00963152"/>
    <w:rsid w:val="00965ACA"/>
    <w:rsid w:val="00994733"/>
    <w:rsid w:val="009E2D8F"/>
    <w:rsid w:val="00A02766"/>
    <w:rsid w:val="00A80007"/>
    <w:rsid w:val="00A92E37"/>
    <w:rsid w:val="00A94BA6"/>
    <w:rsid w:val="00AA424C"/>
    <w:rsid w:val="00AC18F6"/>
    <w:rsid w:val="00B43F56"/>
    <w:rsid w:val="00B618A9"/>
    <w:rsid w:val="00B63BC6"/>
    <w:rsid w:val="00B65630"/>
    <w:rsid w:val="00B75651"/>
    <w:rsid w:val="00B75BB1"/>
    <w:rsid w:val="00B9628C"/>
    <w:rsid w:val="00BA7A15"/>
    <w:rsid w:val="00BC293F"/>
    <w:rsid w:val="00C068E2"/>
    <w:rsid w:val="00C15583"/>
    <w:rsid w:val="00C257E0"/>
    <w:rsid w:val="00C33B01"/>
    <w:rsid w:val="00C34AFA"/>
    <w:rsid w:val="00C42C28"/>
    <w:rsid w:val="00C45D2D"/>
    <w:rsid w:val="00C7757A"/>
    <w:rsid w:val="00CF78D9"/>
    <w:rsid w:val="00D01703"/>
    <w:rsid w:val="00D5370E"/>
    <w:rsid w:val="00D60EE1"/>
    <w:rsid w:val="00D80638"/>
    <w:rsid w:val="00D92F96"/>
    <w:rsid w:val="00DB3393"/>
    <w:rsid w:val="00DD12C9"/>
    <w:rsid w:val="00DE36C5"/>
    <w:rsid w:val="00DF11BB"/>
    <w:rsid w:val="00E0528E"/>
    <w:rsid w:val="00E301AB"/>
    <w:rsid w:val="00E318A9"/>
    <w:rsid w:val="00E4169F"/>
    <w:rsid w:val="00E7518D"/>
    <w:rsid w:val="00E912E4"/>
    <w:rsid w:val="00EE301E"/>
    <w:rsid w:val="00F0319E"/>
    <w:rsid w:val="00F467D4"/>
    <w:rsid w:val="00F57B09"/>
    <w:rsid w:val="00F975F5"/>
    <w:rsid w:val="00FA0121"/>
    <w:rsid w:val="00FA5ACF"/>
    <w:rsid w:val="00FB6709"/>
    <w:rsid w:val="00FC0985"/>
    <w:rsid w:val="00FD6F96"/>
    <w:rsid w:val="00FF6F68"/>
    <w:rsid w:val="17D9487D"/>
    <w:rsid w:val="33E93CD7"/>
    <w:rsid w:val="5043184B"/>
    <w:rsid w:val="52B9316C"/>
    <w:rsid w:val="5D120386"/>
    <w:rsid w:val="61FD39E2"/>
    <w:rsid w:val="7E5C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3"/>
    <w:semiHidden/>
    <w:unhideWhenUsed/>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footnote text"/>
    <w:basedOn w:val="1"/>
    <w:qFormat/>
    <w:uiPriority w:val="0"/>
    <w:pPr>
      <w:snapToGrid w:val="0"/>
      <w:jc w:val="left"/>
    </w:pPr>
    <w:rPr>
      <w:rFonts w:ascii="Times New Roman" w:hAnsi="Times New Roman" w:eastAsia="宋体" w:cs="Times New Roman"/>
      <w:sz w:val="18"/>
      <w:szCs w:val="18"/>
    </w:rPr>
  </w:style>
  <w:style w:type="character" w:styleId="9">
    <w:name w:val="annotation reference"/>
    <w:basedOn w:val="8"/>
    <w:semiHidden/>
    <w:unhideWhenUsed/>
    <w:qFormat/>
    <w:uiPriority w:val="99"/>
    <w:rPr>
      <w:sz w:val="21"/>
      <w:szCs w:val="21"/>
    </w:rPr>
  </w:style>
  <w:style w:type="character" w:styleId="10">
    <w:name w:val="footnote reference"/>
    <w:basedOn w:val="8"/>
    <w:qFormat/>
    <w:uiPriority w:val="0"/>
    <w:rPr>
      <w:vertAlign w:val="superscript"/>
    </w:rPr>
  </w:style>
  <w:style w:type="character" w:customStyle="1" w:styleId="11">
    <w:name w:val="页眉 字符"/>
    <w:basedOn w:val="8"/>
    <w:link w:val="5"/>
    <w:uiPriority w:val="0"/>
    <w:rPr>
      <w:rFonts w:asciiTheme="minorHAnsi" w:hAnsiTheme="minorHAnsi" w:eastAsiaTheme="minorEastAsia" w:cstheme="minorBidi"/>
      <w:kern w:val="2"/>
      <w:sz w:val="18"/>
      <w:szCs w:val="18"/>
    </w:rPr>
  </w:style>
  <w:style w:type="character" w:customStyle="1" w:styleId="12">
    <w:name w:val="页脚 字符"/>
    <w:basedOn w:val="8"/>
    <w:link w:val="4"/>
    <w:uiPriority w:val="0"/>
    <w:rPr>
      <w:rFonts w:asciiTheme="minorHAnsi" w:hAnsiTheme="minorHAnsi" w:eastAsiaTheme="minorEastAsia" w:cstheme="minorBidi"/>
      <w:kern w:val="2"/>
      <w:sz w:val="18"/>
      <w:szCs w:val="18"/>
    </w:rPr>
  </w:style>
  <w:style w:type="character" w:customStyle="1" w:styleId="13">
    <w:name w:val="批注框文本 字符"/>
    <w:basedOn w:val="8"/>
    <w:link w:val="3"/>
    <w:semiHidden/>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331</Words>
  <Characters>1893</Characters>
  <Lines>15</Lines>
  <Paragraphs>4</Paragraphs>
  <TotalTime>57</TotalTime>
  <ScaleCrop>false</ScaleCrop>
  <LinksUpToDate>false</LinksUpToDate>
  <CharactersWithSpaces>2220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2020-08-06T09:04:00Z</dcterms:created>
  <dc:creator>陶</dc:creator>
  <cp:lastModifiedBy>钱程</cp:lastModifiedBy>
  <cp:lastPrinted>2020-08-04T04:19:00Z</cp:lastPrinted>
  <dcterms:modified xsi:type="dcterms:W3CDTF">2023-11-14T05:53:51Z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3D34863DE5804DF2B83C8F1FFFCB3591</vt:lpwstr>
  </property>
</Properties>
</file>