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rPr>
      </w:pPr>
      <w:r>
        <w:rPr>
          <w:rFonts w:hint="eastAsia" w:ascii="方正小标宋简体" w:eastAsia="方正小标宋简体"/>
          <w:sz w:val="32"/>
        </w:rPr>
        <w:t>统计学院、管理工程学院数据科学与大数据技术专业</w:t>
      </w:r>
    </w:p>
    <w:p>
      <w:pPr>
        <w:jc w:val="center"/>
        <w:rPr>
          <w:rFonts w:ascii="方正小标宋简体" w:eastAsia="方正小标宋简体"/>
          <w:sz w:val="32"/>
        </w:rPr>
      </w:pPr>
      <w:bookmarkStart w:id="1" w:name="_GoBack"/>
      <w:bookmarkEnd w:id="1"/>
      <w:r>
        <w:rPr>
          <w:rFonts w:hint="eastAsia" w:ascii="方正小标宋简体" w:eastAsia="方正小标宋简体"/>
          <w:sz w:val="32"/>
        </w:rPr>
        <w:t>第二专业学士学位培养方案</w:t>
      </w:r>
    </w:p>
    <w:p>
      <w:pPr>
        <w:jc w:val="center"/>
        <w:rPr>
          <w:rFonts w:ascii="方正小标宋简体" w:eastAsia="方正小标宋简体"/>
          <w:sz w:val="28"/>
        </w:rPr>
      </w:pPr>
      <w:r>
        <w:rPr>
          <w:rFonts w:hint="eastAsia" w:ascii="方正小标宋简体" w:eastAsia="方正小标宋简体"/>
          <w:sz w:val="28"/>
        </w:rPr>
        <w:t>（专业</w:t>
      </w:r>
      <w:r>
        <w:rPr>
          <w:rFonts w:ascii="方正小标宋简体" w:eastAsia="方正小标宋简体"/>
          <w:sz w:val="28"/>
        </w:rPr>
        <w:t>代码</w:t>
      </w:r>
      <w:r>
        <w:rPr>
          <w:rFonts w:hint="eastAsia" w:ascii="方正小标宋简体" w:eastAsia="方正小标宋简体"/>
          <w:sz w:val="28"/>
        </w:rPr>
        <w:t xml:space="preserve"> </w:t>
      </w:r>
      <w:bookmarkStart w:id="0" w:name="_Hlk46259112"/>
      <w:r>
        <w:rPr>
          <w:rFonts w:hint="eastAsia" w:ascii="方正小标宋简体" w:eastAsia="方正小标宋简体"/>
          <w:sz w:val="28"/>
        </w:rPr>
        <w:t>080910T</w:t>
      </w:r>
      <w:bookmarkEnd w:id="0"/>
      <w:r>
        <w:rPr>
          <w:rFonts w:hint="eastAsia" w:ascii="方正小标宋简体" w:eastAsia="方正小标宋简体"/>
          <w:sz w:val="28"/>
        </w:rPr>
        <w:t>）</w:t>
      </w:r>
    </w:p>
    <w:p>
      <w:pPr>
        <w:spacing w:line="360" w:lineRule="auto"/>
        <w:ind w:firstLine="472" w:firstLineChars="196"/>
        <w:rPr>
          <w:b/>
          <w:sz w:val="24"/>
        </w:rPr>
      </w:pPr>
      <w:r>
        <w:rPr>
          <w:rFonts w:hint="eastAsia"/>
          <w:b/>
          <w:sz w:val="24"/>
        </w:rPr>
        <w:t>一、</w:t>
      </w:r>
      <w:r>
        <w:rPr>
          <w:b/>
          <w:sz w:val="24"/>
        </w:rPr>
        <w:t>培养目标</w:t>
      </w:r>
    </w:p>
    <w:p>
      <w:pPr>
        <w:pStyle w:val="3"/>
        <w:spacing w:line="360" w:lineRule="auto"/>
        <w:ind w:firstLine="480"/>
        <w:rPr>
          <w:sz w:val="24"/>
          <w:szCs w:val="24"/>
        </w:rPr>
      </w:pPr>
      <w:r>
        <w:rPr>
          <w:rFonts w:hint="eastAsia"/>
          <w:sz w:val="24"/>
          <w:szCs w:val="24"/>
          <w:lang w:eastAsia="zh-CN"/>
        </w:rPr>
        <w:t>本专业旨在培养具有社会主义核心价值观以及规范使用语言文字意识和应用能力，德、智、体、美全面发展，能够</w:t>
      </w:r>
      <w:r>
        <w:rPr>
          <w:rFonts w:hint="eastAsia"/>
          <w:sz w:val="24"/>
          <w:szCs w:val="24"/>
        </w:rPr>
        <w:t>以数学与计算机为基础，</w:t>
      </w:r>
      <w:r>
        <w:rPr>
          <w:rFonts w:hint="eastAsia"/>
          <w:sz w:val="24"/>
          <w:szCs w:val="24"/>
          <w:lang w:eastAsia="zh-CN"/>
        </w:rPr>
        <w:t>系统掌握数据科学及大数据技术</w:t>
      </w:r>
      <w:r>
        <w:rPr>
          <w:rFonts w:hint="eastAsia"/>
          <w:sz w:val="24"/>
          <w:szCs w:val="24"/>
        </w:rPr>
        <w:t>的</w:t>
      </w:r>
      <w:r>
        <w:rPr>
          <w:rFonts w:hint="eastAsia"/>
          <w:sz w:val="24"/>
          <w:szCs w:val="24"/>
          <w:lang w:eastAsia="zh-CN"/>
        </w:rPr>
        <w:t>专业知识</w:t>
      </w:r>
      <w:r>
        <w:rPr>
          <w:rFonts w:hint="eastAsia"/>
          <w:sz w:val="24"/>
          <w:szCs w:val="24"/>
        </w:rPr>
        <w:t>，具有搜集、整理、分析和呈现</w:t>
      </w:r>
      <w:r>
        <w:rPr>
          <w:rFonts w:hint="eastAsia"/>
          <w:sz w:val="24"/>
          <w:szCs w:val="24"/>
          <w:lang w:eastAsia="zh-CN"/>
        </w:rPr>
        <w:t>大</w:t>
      </w:r>
      <w:r>
        <w:rPr>
          <w:rFonts w:hint="eastAsia"/>
          <w:sz w:val="24"/>
          <w:szCs w:val="24"/>
        </w:rPr>
        <w:t>数据的基本能力，能够熟练使用在大数据架构上的基本工具进行数据分析，为企业、咨询和研究机构解决实际问题，创新创业</w:t>
      </w:r>
      <w:r>
        <w:rPr>
          <w:sz w:val="24"/>
          <w:szCs w:val="24"/>
        </w:rPr>
        <w:t>能力较强的复合型人才。</w:t>
      </w:r>
    </w:p>
    <w:p>
      <w:pPr>
        <w:spacing w:line="360" w:lineRule="auto"/>
        <w:ind w:firstLine="472" w:firstLineChars="196"/>
        <w:rPr>
          <w:b/>
          <w:sz w:val="24"/>
        </w:rPr>
      </w:pPr>
      <w:r>
        <w:rPr>
          <w:b/>
          <w:sz w:val="24"/>
        </w:rPr>
        <w:t>二、培养要求</w:t>
      </w:r>
    </w:p>
    <w:p>
      <w:pPr>
        <w:adjustRightInd w:val="0"/>
        <w:snapToGrid w:val="0"/>
        <w:spacing w:line="360" w:lineRule="auto"/>
        <w:ind w:firstLine="480" w:firstLineChars="200"/>
        <w:rPr>
          <w:sz w:val="24"/>
        </w:rPr>
      </w:pPr>
      <w:r>
        <w:rPr>
          <w:sz w:val="24"/>
        </w:rPr>
        <w:t>1</w:t>
      </w:r>
      <w:r>
        <w:rPr>
          <w:rFonts w:hint="eastAsia"/>
          <w:sz w:val="24"/>
        </w:rPr>
        <w:t>. 掌握习近平新时代中国特色社会主义思想理论体系，具有正确的社会历史观和人生价值观，有较强的社会责任感和法律意识；具有爱岗敬业、遵纪守法和团结合作的品质；具有为国家富强、民族昌盛而奋斗的志向和使命感；具有良好的人文社会科学素养、职业道德和心理素质。</w:t>
      </w:r>
    </w:p>
    <w:p>
      <w:pPr>
        <w:adjustRightInd w:val="0"/>
        <w:snapToGrid w:val="0"/>
        <w:spacing w:line="360" w:lineRule="auto"/>
        <w:ind w:firstLine="480" w:firstLineChars="200"/>
        <w:rPr>
          <w:sz w:val="24"/>
        </w:rPr>
      </w:pPr>
      <w:r>
        <w:rPr>
          <w:rFonts w:hint="eastAsia"/>
          <w:sz w:val="24"/>
        </w:rPr>
        <w:t>2.</w:t>
      </w:r>
      <w:r>
        <w:rPr>
          <w:sz w:val="24"/>
        </w:rPr>
        <w:t xml:space="preserve"> </w:t>
      </w:r>
      <w:r>
        <w:rPr>
          <w:rFonts w:hint="eastAsia"/>
          <w:sz w:val="24"/>
        </w:rPr>
        <w:t>具有扎实的数据科学理论功底，系统掌握数据科学和大数据专业知识。</w:t>
      </w:r>
    </w:p>
    <w:p>
      <w:pPr>
        <w:adjustRightInd w:val="0"/>
        <w:snapToGrid w:val="0"/>
        <w:spacing w:line="360" w:lineRule="auto"/>
        <w:ind w:firstLine="480" w:firstLineChars="200"/>
        <w:rPr>
          <w:sz w:val="24"/>
        </w:rPr>
      </w:pPr>
      <w:r>
        <w:rPr>
          <w:sz w:val="24"/>
        </w:rPr>
        <w:t>3</w:t>
      </w:r>
      <w:r>
        <w:rPr>
          <w:rFonts w:hint="eastAsia"/>
          <w:sz w:val="24"/>
        </w:rPr>
        <w:t>. 具有较强的计算机及互联网应用能力，掌握高效的处理大数据的方法，掌握大数据建模和分析的基础理论，能够从大数据中获取有价值的知识。</w:t>
      </w:r>
    </w:p>
    <w:p>
      <w:pPr>
        <w:adjustRightInd w:val="0"/>
        <w:snapToGrid w:val="0"/>
        <w:spacing w:line="360" w:lineRule="auto"/>
        <w:ind w:firstLine="480" w:firstLineChars="200"/>
        <w:rPr>
          <w:sz w:val="24"/>
        </w:rPr>
      </w:pPr>
      <w:r>
        <w:rPr>
          <w:sz w:val="24"/>
        </w:rPr>
        <w:t>4</w:t>
      </w:r>
      <w:r>
        <w:rPr>
          <w:rFonts w:hint="eastAsia"/>
          <w:sz w:val="24"/>
        </w:rPr>
        <w:t>. 具备解决交叉学科实际问题的能力。具备使用数据科学思维方法和大数据技术对经济、金融、管理等领域数据信息进行收集和分析处理，完成相关领域的实际工作。</w:t>
      </w:r>
    </w:p>
    <w:p>
      <w:pPr>
        <w:adjustRightInd w:val="0"/>
        <w:snapToGrid w:val="0"/>
        <w:spacing w:line="360" w:lineRule="auto"/>
        <w:ind w:firstLine="480" w:firstLineChars="200"/>
        <w:rPr>
          <w:sz w:val="24"/>
        </w:rPr>
      </w:pPr>
      <w:r>
        <w:rPr>
          <w:sz w:val="24"/>
        </w:rPr>
        <w:t>5</w:t>
      </w:r>
      <w:r>
        <w:rPr>
          <w:rFonts w:hint="eastAsia"/>
          <w:sz w:val="24"/>
        </w:rPr>
        <w:t>. 自觉履行社会责任和义务。熟悉大数据专业领域相关政策及法律、法规，能够在本专业领域实践活动中理解并遵守职业道德和职业规范。</w:t>
      </w:r>
    </w:p>
    <w:p>
      <w:pPr>
        <w:spacing w:line="360" w:lineRule="auto"/>
        <w:ind w:firstLine="475" w:firstLineChars="197"/>
        <w:rPr>
          <w:b/>
          <w:sz w:val="24"/>
        </w:rPr>
      </w:pPr>
      <w:r>
        <w:rPr>
          <w:b/>
          <w:sz w:val="24"/>
        </w:rPr>
        <w:t>三、</w:t>
      </w:r>
      <w:r>
        <w:rPr>
          <w:rFonts w:hint="eastAsia"/>
          <w:b/>
          <w:sz w:val="24"/>
        </w:rPr>
        <w:t>修读要求与</w:t>
      </w:r>
      <w:r>
        <w:rPr>
          <w:b/>
          <w:sz w:val="24"/>
        </w:rPr>
        <w:t xml:space="preserve">学位 </w:t>
      </w:r>
    </w:p>
    <w:p>
      <w:pPr>
        <w:adjustRightInd w:val="0"/>
        <w:snapToGrid w:val="0"/>
        <w:spacing w:line="360" w:lineRule="auto"/>
        <w:ind w:firstLine="480" w:firstLineChars="200"/>
        <w:rPr>
          <w:sz w:val="24"/>
        </w:rPr>
      </w:pPr>
      <w:r>
        <w:rPr>
          <w:rFonts w:hint="eastAsia"/>
          <w:sz w:val="24"/>
        </w:rPr>
        <w:t>学制两年。凡在修业年限内，修满规定的</w:t>
      </w:r>
      <w:r>
        <w:rPr>
          <w:color w:val="000000" w:themeColor="text1"/>
          <w:sz w:val="24"/>
          <w14:textFill>
            <w14:solidFill>
              <w14:schemeClr w14:val="tx1"/>
            </w14:solidFill>
          </w14:textFill>
        </w:rPr>
        <w:t>62</w:t>
      </w:r>
      <w:r>
        <w:rPr>
          <w:rFonts w:hint="eastAsia"/>
          <w:sz w:val="24"/>
        </w:rPr>
        <w:t>学分且满足相应条件</w:t>
      </w:r>
      <w:r>
        <w:rPr>
          <w:rStyle w:val="12"/>
          <w:sz w:val="24"/>
        </w:rPr>
        <w:footnoteReference w:id="0"/>
      </w:r>
      <w:r>
        <w:rPr>
          <w:rFonts w:hint="eastAsia"/>
          <w:sz w:val="24"/>
        </w:rPr>
        <w:t>，达到毕业和授予学士学位要求的，颁发毕业证书和学位证书。</w:t>
      </w:r>
    </w:p>
    <w:p>
      <w:pPr>
        <w:spacing w:line="360" w:lineRule="auto"/>
        <w:ind w:firstLine="475" w:firstLineChars="197"/>
        <w:rPr>
          <w:b/>
          <w:sz w:val="24"/>
        </w:rPr>
      </w:pPr>
      <w:r>
        <w:rPr>
          <w:b/>
          <w:sz w:val="24"/>
        </w:rPr>
        <w:t>四</w:t>
      </w:r>
      <w:r>
        <w:rPr>
          <w:rFonts w:hint="eastAsia"/>
          <w:b/>
          <w:sz w:val="24"/>
        </w:rPr>
        <w:t>、教学计划表</w:t>
      </w:r>
    </w:p>
    <w:tbl>
      <w:tblPr>
        <w:tblStyle w:val="9"/>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34"/>
        <w:gridCol w:w="2835"/>
        <w:gridCol w:w="567"/>
        <w:gridCol w:w="567"/>
        <w:gridCol w:w="567"/>
        <w:gridCol w:w="426"/>
        <w:gridCol w:w="1134"/>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34" w:type="dxa"/>
            <w:vMerge w:val="restart"/>
            <w:vAlign w:val="center"/>
          </w:tcPr>
          <w:p>
            <w:pPr>
              <w:jc w:val="center"/>
              <w:rPr>
                <w:b/>
                <w:color w:val="000000" w:themeColor="text1"/>
                <w:szCs w:val="21"/>
                <w14:textFill>
                  <w14:solidFill>
                    <w14:schemeClr w14:val="tx1"/>
                  </w14:solidFill>
                </w14:textFill>
              </w:rPr>
            </w:pPr>
            <w:r>
              <w:rPr>
                <w:rFonts w:hAnsi="宋体"/>
                <w:b/>
                <w:color w:val="000000" w:themeColor="text1"/>
                <w:szCs w:val="21"/>
                <w14:textFill>
                  <w14:solidFill>
                    <w14:schemeClr w14:val="tx1"/>
                  </w14:solidFill>
                </w14:textFill>
              </w:rPr>
              <w:t>课程</w:t>
            </w:r>
            <w:r>
              <w:rPr>
                <w:rFonts w:hint="eastAsia" w:hAnsi="宋体"/>
                <w:b/>
                <w:color w:val="000000" w:themeColor="text1"/>
                <w:szCs w:val="21"/>
                <w14:textFill>
                  <w14:solidFill>
                    <w14:schemeClr w14:val="tx1"/>
                  </w14:solidFill>
                </w14:textFill>
              </w:rPr>
              <w:t>类型</w:t>
            </w:r>
          </w:p>
        </w:tc>
        <w:tc>
          <w:tcPr>
            <w:tcW w:w="1134"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课程代码</w:t>
            </w:r>
          </w:p>
        </w:tc>
        <w:tc>
          <w:tcPr>
            <w:tcW w:w="2835" w:type="dxa"/>
            <w:vMerge w:val="restart"/>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课程名称</w:t>
            </w:r>
          </w:p>
        </w:tc>
        <w:tc>
          <w:tcPr>
            <w:tcW w:w="2127" w:type="dxa"/>
            <w:gridSpan w:val="4"/>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开设学期/周学时</w:t>
            </w:r>
          </w:p>
        </w:tc>
        <w:tc>
          <w:tcPr>
            <w:tcW w:w="1134" w:type="dxa"/>
            <w:vMerge w:val="restart"/>
            <w:vAlign w:val="center"/>
          </w:tcPr>
          <w:p>
            <w:pPr>
              <w:jc w:val="center"/>
              <w:rPr>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课程</w:t>
            </w:r>
            <w:r>
              <w:rPr>
                <w:rFonts w:hAnsi="宋体"/>
                <w:b/>
                <w:color w:val="000000" w:themeColor="text1"/>
                <w:szCs w:val="21"/>
                <w14:textFill>
                  <w14:solidFill>
                    <w14:schemeClr w14:val="tx1"/>
                  </w14:solidFill>
                </w14:textFill>
              </w:rPr>
              <w:t>承担单位</w:t>
            </w:r>
          </w:p>
        </w:tc>
        <w:tc>
          <w:tcPr>
            <w:tcW w:w="763" w:type="dxa"/>
            <w:vMerge w:val="restart"/>
            <w:vAlign w:val="center"/>
          </w:tcPr>
          <w:p>
            <w:pPr>
              <w:jc w:val="center"/>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考试类型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b/>
                <w:color w:val="000000" w:themeColor="text1"/>
                <w:szCs w:val="21"/>
                <w14:textFill>
                  <w14:solidFill>
                    <w14:schemeClr w14:val="tx1"/>
                  </w14:solidFill>
                </w14:textFill>
              </w:rPr>
            </w:pPr>
          </w:p>
        </w:tc>
        <w:tc>
          <w:tcPr>
            <w:tcW w:w="1134" w:type="dxa"/>
            <w:vMerge w:val="continue"/>
          </w:tcPr>
          <w:p>
            <w:pPr>
              <w:jc w:val="center"/>
              <w:rPr>
                <w:rFonts w:ascii="Times New Roman" w:hAnsi="Times New Roman" w:cs="Times New Roman"/>
                <w:b/>
                <w:color w:val="000000" w:themeColor="text1"/>
                <w:szCs w:val="21"/>
                <w14:textFill>
                  <w14:solidFill>
                    <w14:schemeClr w14:val="tx1"/>
                  </w14:solidFill>
                </w14:textFill>
              </w:rPr>
            </w:pPr>
          </w:p>
        </w:tc>
        <w:tc>
          <w:tcPr>
            <w:tcW w:w="2835" w:type="dxa"/>
            <w:vMerge w:val="continue"/>
            <w:vAlign w:val="center"/>
          </w:tcPr>
          <w:p>
            <w:pPr>
              <w:jc w:val="center"/>
              <w:rPr>
                <w:rFonts w:ascii="Times New Roman" w:hAnsi="Times New Roman" w:cs="Times New Roman"/>
                <w:b/>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w:t>
            </w:r>
          </w:p>
        </w:tc>
        <w:tc>
          <w:tcPr>
            <w:tcW w:w="567" w:type="dxa"/>
            <w:tcMar>
              <w:top w:w="0" w:type="dxa"/>
              <w:bottom w:w="0" w:type="dxa"/>
            </w:tcMar>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p>
        </w:tc>
        <w:tc>
          <w:tcPr>
            <w:tcW w:w="567" w:type="dxa"/>
            <w:tcMar>
              <w:top w:w="0" w:type="dxa"/>
              <w:bottom w:w="0" w:type="dxa"/>
            </w:tcMar>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w:t>
            </w:r>
          </w:p>
        </w:tc>
        <w:tc>
          <w:tcPr>
            <w:tcW w:w="426" w:type="dxa"/>
            <w:tcMar>
              <w:top w:w="0" w:type="dxa"/>
              <w:bottom w:w="0" w:type="dxa"/>
            </w:tcMar>
            <w:vAlign w:val="center"/>
          </w:tcPr>
          <w:p>
            <w:pPr>
              <w:jc w:val="center"/>
              <w:rPr>
                <w:rFonts w:ascii="Times New Roman" w:hAnsi="Times New Roman" w:cs="Times New Roman"/>
                <w:b/>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4</w:t>
            </w:r>
          </w:p>
        </w:tc>
        <w:tc>
          <w:tcPr>
            <w:tcW w:w="1134" w:type="dxa"/>
            <w:vMerge w:val="continue"/>
            <w:vAlign w:val="center"/>
          </w:tcPr>
          <w:p>
            <w:pPr>
              <w:jc w:val="center"/>
              <w:rPr>
                <w:b/>
                <w:color w:val="000000" w:themeColor="text1"/>
                <w:szCs w:val="21"/>
                <w14:textFill>
                  <w14:solidFill>
                    <w14:schemeClr w14:val="tx1"/>
                  </w14:solidFill>
                </w14:textFill>
              </w:rPr>
            </w:pPr>
          </w:p>
        </w:tc>
        <w:tc>
          <w:tcPr>
            <w:tcW w:w="763" w:type="dxa"/>
            <w:vMerge w:val="continue"/>
            <w:vAlign w:val="center"/>
          </w:tcPr>
          <w:p>
            <w:pPr>
              <w:adjustRightInd w:val="0"/>
              <w:snapToGrid w:val="0"/>
              <w:jc w:val="center"/>
              <w:rPr>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思想政治类</w:t>
            </w: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060102B</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szCs w:val="21"/>
              </w:rPr>
              <w:t>习近平新时代中国特色社会主义思想概论Xi Jinping Thought on Socialism with Chinese Characteristics for a New Era</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马克思主义学院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学科基础课</w:t>
            </w: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121172B</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数据科学导论</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Introduction to Data Science</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071633A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数据科学的计算机基础</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Computer Foundation of Data Science</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121424A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数据科学的统计基础     </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Statistics  Foundation of Data Science</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ind w:left="-84" w:leftChars="-40" w:right="-90" w:rightChars="-43"/>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071574A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面向对象程序设计（JAVA）</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Object-Oriented Programme Design (JAVA)</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2+2</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121053A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回归分析        </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Regression Analysis</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071623A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分布式计算 </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Distributed Computing</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120403A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时间序列分析</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Time Series</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专业核心课</w:t>
            </w: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070114A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数据结构</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Data Structure</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071523B</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程序设计语言(Python)</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Programming Language</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(Python)</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p>
        </w:tc>
        <w:tc>
          <w:tcPr>
            <w:tcW w:w="1134" w:type="dxa"/>
            <w:vAlign w:val="center"/>
          </w:tcPr>
          <w:p>
            <w:pPr>
              <w:jc w:val="center"/>
              <w:rPr>
                <w:color w:val="000000" w:themeColor="text1"/>
                <w:szCs w:val="21"/>
                <w:highlight w:val="yellow"/>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070223A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数据仓库与数据挖掘 </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Data Warehouse and Data</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Mining</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120013B</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机器学习</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Machine Learning</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121413B</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大数据预处理</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Big Data Preprocessing</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120683A</w:t>
            </w:r>
          </w:p>
        </w:tc>
        <w:tc>
          <w:tcPr>
            <w:tcW w:w="2835" w:type="dxa"/>
            <w:vAlign w:val="center"/>
          </w:tcPr>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统计预测与决策</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双语</w:t>
            </w:r>
            <w:r>
              <w:rPr>
                <w:rFonts w:hint="eastAsia" w:ascii="Times New Roman" w:hAnsi="Times New Roman" w:cs="Times New Roman"/>
                <w:color w:val="000000" w:themeColor="text1"/>
                <w:szCs w:val="21"/>
                <w14:textFill>
                  <w14:solidFill>
                    <w14:schemeClr w14:val="tx1"/>
                  </w14:solidFill>
                </w14:textFill>
              </w:rPr>
              <w:t>）</w:t>
            </w:r>
          </w:p>
          <w:p>
            <w:pP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Statistical Prediction Theory and Method（Bilingual）</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　</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03" w:type="dxa"/>
            <w:gridSpan w:val="3"/>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必修课小计</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20</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p>
        </w:tc>
        <w:tc>
          <w:tcPr>
            <w:tcW w:w="763"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专业提升课</w:t>
            </w: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070073B</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计算机网络技术与应用</w:t>
            </w: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Computer Network Technology and Application</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120493A</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贝叶斯统计</w:t>
            </w: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Bayesian Statistics</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071583B</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自然语言处理 </w:t>
            </w:r>
          </w:p>
          <w:p>
            <w:pPr>
              <w:jc w:val="left"/>
              <w:rPr>
                <w:rFonts w:ascii="Times New Roman" w:hAnsi="Times New Roman" w:cs="Times New Roman"/>
                <w:color w:val="000000" w:themeColor="text1"/>
                <w:szCs w:val="21"/>
                <w:highlight w:val="yellow"/>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Natural Language Processing</w:t>
            </w:r>
          </w:p>
        </w:tc>
        <w:tc>
          <w:tcPr>
            <w:tcW w:w="567"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　</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121393B</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超高维数据分析</w:t>
            </w: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Ultra-High Dimensional Data Analysis</w:t>
            </w:r>
          </w:p>
        </w:tc>
        <w:tc>
          <w:tcPr>
            <w:tcW w:w="567"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121193B</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非结构数据分析与建模</w:t>
            </w: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Unstructured Data Analysis and Modeling</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120323A</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非参数统计</w:t>
            </w:r>
          </w:p>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Nonparametric Statistics</w:t>
            </w:r>
          </w:p>
        </w:tc>
        <w:tc>
          <w:tcPr>
            <w:tcW w:w="567" w:type="dxa"/>
            <w:vAlign w:val="center"/>
          </w:tcPr>
          <w:p>
            <w:pPr>
              <w:jc w:val="center"/>
              <w:rPr>
                <w:rFonts w:ascii="Times New Roman" w:hAnsi="Times New Roman" w:cs="Times New Roman"/>
                <w:color w:val="000000" w:themeColor="text1"/>
                <w:szCs w:val="21"/>
                <w:highlight w:val="yellow"/>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2+1</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统计学院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1134"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071183B</w:t>
            </w:r>
          </w:p>
        </w:tc>
        <w:tc>
          <w:tcPr>
            <w:tcW w:w="2835" w:type="dxa"/>
            <w:vAlign w:val="center"/>
          </w:tcPr>
          <w:p>
            <w:pPr>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数据可视化</w:t>
            </w:r>
            <w:r>
              <w:rPr>
                <w:rFonts w:ascii="Times New Roman" w:hAnsi="Times New Roman" w:cs="Times New Roman"/>
                <w:color w:val="000000" w:themeColor="text1"/>
                <w:szCs w:val="21"/>
                <w14:textFill>
                  <w14:solidFill>
                    <w14:schemeClr w14:val="tx1"/>
                  </w14:solidFill>
                </w14:textFill>
              </w:rPr>
              <w:br w:type="textWrapping"/>
            </w:r>
            <w:r>
              <w:rPr>
                <w:rFonts w:ascii="Times New Roman" w:hAnsi="Times New Roman" w:cs="Times New Roman"/>
                <w:color w:val="000000" w:themeColor="text1"/>
                <w:szCs w:val="21"/>
                <w14:textFill>
                  <w14:solidFill>
                    <w14:schemeClr w14:val="tx1"/>
                  </w14:solidFill>
                </w14:textFill>
              </w:rPr>
              <w:t>Data Visualization</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管工学院</w:t>
            </w:r>
          </w:p>
        </w:tc>
        <w:tc>
          <w:tcPr>
            <w:tcW w:w="763" w:type="dxa"/>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3969"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hint="eastAsia" w:ascii="Times New Roman" w:hAnsi="Times New Roman" w:cs="Times New Roman"/>
                <w:color w:val="000000" w:themeColor="text1"/>
                <w:szCs w:val="21"/>
                <w14:textFill>
                  <w14:solidFill>
                    <w14:schemeClr w14:val="tx1"/>
                  </w14:solidFill>
                </w14:textFill>
              </w:rPr>
              <w:t>选修课小计</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12</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1134" w:type="dxa"/>
            <w:vAlign w:val="center"/>
          </w:tcPr>
          <w:p>
            <w:pPr>
              <w:jc w:val="center"/>
              <w:rPr>
                <w:color w:val="000000" w:themeColor="text1"/>
                <w:szCs w:val="21"/>
                <w14:textFill>
                  <w14:solidFill>
                    <w14:schemeClr w14:val="tx1"/>
                  </w14:solidFill>
                </w14:textFill>
              </w:rPr>
            </w:pPr>
          </w:p>
        </w:tc>
        <w:tc>
          <w:tcPr>
            <w:tcW w:w="763" w:type="dxa"/>
            <w:vAlign w:val="center"/>
          </w:tcPr>
          <w:p>
            <w:pPr>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Merge w:val="continue"/>
            <w:vAlign w:val="center"/>
          </w:tcPr>
          <w:p>
            <w:pPr>
              <w:jc w:val="center"/>
              <w:rPr>
                <w:color w:val="000000" w:themeColor="text1"/>
                <w:szCs w:val="21"/>
                <w14:textFill>
                  <w14:solidFill>
                    <w14:schemeClr w14:val="tx1"/>
                  </w14:solidFill>
                </w14:textFill>
              </w:rPr>
            </w:pPr>
          </w:p>
        </w:tc>
        <w:tc>
          <w:tcPr>
            <w:tcW w:w="7993" w:type="dxa"/>
            <w:gridSpan w:val="8"/>
            <w:vAlign w:val="center"/>
          </w:tcPr>
          <w:p>
            <w:pPr>
              <w:jc w:val="center"/>
              <w:rPr>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上述选修课合计至少要选够 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34" w:type="dxa"/>
            <w:vAlign w:val="center"/>
          </w:tcPr>
          <w:p>
            <w:pP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毕业环节</w:t>
            </w:r>
          </w:p>
        </w:tc>
        <w:tc>
          <w:tcPr>
            <w:tcW w:w="3969" w:type="dxa"/>
            <w:gridSpan w:val="2"/>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毕业论文（设计）或者岗位实习报告</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1134" w:type="dxa"/>
            <w:vAlign w:val="center"/>
          </w:tcPr>
          <w:p>
            <w:pPr>
              <w:jc w:val="center"/>
              <w:rPr>
                <w:color w:val="000000" w:themeColor="text1"/>
                <w:szCs w:val="21"/>
                <w14:textFill>
                  <w14:solidFill>
                    <w14:schemeClr w14:val="tx1"/>
                  </w14:solidFill>
                </w14:textFill>
              </w:rPr>
            </w:pPr>
          </w:p>
        </w:tc>
        <w:tc>
          <w:tcPr>
            <w:tcW w:w="763" w:type="dxa"/>
            <w:vAlign w:val="center"/>
          </w:tcPr>
          <w:p>
            <w:pPr>
              <w:jc w:val="center"/>
              <w:rPr>
                <w:color w:val="000000" w:themeColor="text1"/>
                <w:szCs w:val="21"/>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103" w:type="dxa"/>
            <w:gridSpan w:val="3"/>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总计</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20</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23</w:t>
            </w:r>
          </w:p>
        </w:tc>
        <w:tc>
          <w:tcPr>
            <w:tcW w:w="567"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21</w:t>
            </w:r>
          </w:p>
        </w:tc>
        <w:tc>
          <w:tcPr>
            <w:tcW w:w="426" w:type="dxa"/>
            <w:vAlign w:val="center"/>
          </w:tcPr>
          <w:p>
            <w:pPr>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4</w:t>
            </w:r>
          </w:p>
        </w:tc>
        <w:tc>
          <w:tcPr>
            <w:tcW w:w="1134" w:type="dxa"/>
            <w:vAlign w:val="center"/>
          </w:tcPr>
          <w:p>
            <w:pPr>
              <w:jc w:val="center"/>
              <w:rPr>
                <w:color w:val="000000" w:themeColor="text1"/>
                <w:szCs w:val="21"/>
                <w14:textFill>
                  <w14:solidFill>
                    <w14:schemeClr w14:val="tx1"/>
                  </w14:solidFill>
                </w14:textFill>
              </w:rPr>
            </w:pPr>
          </w:p>
        </w:tc>
        <w:tc>
          <w:tcPr>
            <w:tcW w:w="763" w:type="dxa"/>
            <w:vAlign w:val="center"/>
          </w:tcPr>
          <w:p>
            <w:pPr>
              <w:jc w:val="center"/>
              <w:rPr>
                <w:color w:val="000000" w:themeColor="text1"/>
                <w:szCs w:val="21"/>
                <w:highlight w:val="yellow"/>
                <w14:textFill>
                  <w14:solidFill>
                    <w14:schemeClr w14:val="tx1"/>
                  </w14:solidFill>
                </w14:textFill>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r>
        <w:rPr>
          <w:rStyle w:val="12"/>
        </w:rPr>
        <w:footnoteRef/>
      </w:r>
      <w:r>
        <w:rPr>
          <w:rFonts w:hint="eastAsia" w:ascii="微软雅黑" w:hAnsi="微软雅黑" w:eastAsia="微软雅黑"/>
          <w:color w:val="4B4B4B"/>
        </w:rPr>
        <w:t>第二</w:t>
      </w:r>
      <w:r>
        <w:rPr>
          <w:rFonts w:ascii="微软雅黑" w:hAnsi="微软雅黑" w:eastAsia="微软雅黑"/>
          <w:color w:val="4B4B4B"/>
        </w:rPr>
        <w:t>学士学位</w:t>
      </w:r>
      <w:r>
        <w:rPr>
          <w:rFonts w:hint="eastAsia" w:ascii="微软雅黑" w:hAnsi="微软雅黑" w:eastAsia="微软雅黑"/>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120386"/>
    <w:rsid w:val="00011236"/>
    <w:rsid w:val="00055625"/>
    <w:rsid w:val="000965B4"/>
    <w:rsid w:val="000B0F45"/>
    <w:rsid w:val="000D2ECC"/>
    <w:rsid w:val="000E01BA"/>
    <w:rsid w:val="00107326"/>
    <w:rsid w:val="001161AA"/>
    <w:rsid w:val="00117694"/>
    <w:rsid w:val="00136448"/>
    <w:rsid w:val="001C0C80"/>
    <w:rsid w:val="001C5C7A"/>
    <w:rsid w:val="00210A79"/>
    <w:rsid w:val="002126C5"/>
    <w:rsid w:val="00240F9F"/>
    <w:rsid w:val="002518E5"/>
    <w:rsid w:val="0027124D"/>
    <w:rsid w:val="00283D13"/>
    <w:rsid w:val="002A5602"/>
    <w:rsid w:val="002B289C"/>
    <w:rsid w:val="002C25E5"/>
    <w:rsid w:val="002E0F6C"/>
    <w:rsid w:val="002F60DA"/>
    <w:rsid w:val="00324F6E"/>
    <w:rsid w:val="00386A79"/>
    <w:rsid w:val="003C46EE"/>
    <w:rsid w:val="00411216"/>
    <w:rsid w:val="004153C8"/>
    <w:rsid w:val="00416776"/>
    <w:rsid w:val="00425AC3"/>
    <w:rsid w:val="004341DA"/>
    <w:rsid w:val="004845CF"/>
    <w:rsid w:val="004B4FBF"/>
    <w:rsid w:val="004C0F80"/>
    <w:rsid w:val="004F20FD"/>
    <w:rsid w:val="00501C97"/>
    <w:rsid w:val="0053782A"/>
    <w:rsid w:val="00546476"/>
    <w:rsid w:val="005752CC"/>
    <w:rsid w:val="00584FE0"/>
    <w:rsid w:val="00590861"/>
    <w:rsid w:val="00590BB7"/>
    <w:rsid w:val="00596927"/>
    <w:rsid w:val="005F7843"/>
    <w:rsid w:val="00636D6B"/>
    <w:rsid w:val="00651598"/>
    <w:rsid w:val="00671898"/>
    <w:rsid w:val="00674EEF"/>
    <w:rsid w:val="00680AAA"/>
    <w:rsid w:val="006A7594"/>
    <w:rsid w:val="006C5BF6"/>
    <w:rsid w:val="006D5585"/>
    <w:rsid w:val="006E2B31"/>
    <w:rsid w:val="006E6E22"/>
    <w:rsid w:val="00710229"/>
    <w:rsid w:val="00763081"/>
    <w:rsid w:val="0079104A"/>
    <w:rsid w:val="007B13A6"/>
    <w:rsid w:val="007B4043"/>
    <w:rsid w:val="007C5F31"/>
    <w:rsid w:val="00836C63"/>
    <w:rsid w:val="0086560A"/>
    <w:rsid w:val="0087301A"/>
    <w:rsid w:val="00933521"/>
    <w:rsid w:val="009458DC"/>
    <w:rsid w:val="009741AC"/>
    <w:rsid w:val="00994FB2"/>
    <w:rsid w:val="009C69E5"/>
    <w:rsid w:val="009F0768"/>
    <w:rsid w:val="00A46561"/>
    <w:rsid w:val="00A76B05"/>
    <w:rsid w:val="00AC595B"/>
    <w:rsid w:val="00B429DF"/>
    <w:rsid w:val="00BC0C24"/>
    <w:rsid w:val="00BE224B"/>
    <w:rsid w:val="00C0124E"/>
    <w:rsid w:val="00C061A0"/>
    <w:rsid w:val="00C341F4"/>
    <w:rsid w:val="00C554DE"/>
    <w:rsid w:val="00C617A4"/>
    <w:rsid w:val="00C97F5B"/>
    <w:rsid w:val="00CB2149"/>
    <w:rsid w:val="00CD1BD3"/>
    <w:rsid w:val="00CF6264"/>
    <w:rsid w:val="00D21D4C"/>
    <w:rsid w:val="00D27F72"/>
    <w:rsid w:val="00D62479"/>
    <w:rsid w:val="00D936B3"/>
    <w:rsid w:val="00DA622E"/>
    <w:rsid w:val="00DC717A"/>
    <w:rsid w:val="00DF4999"/>
    <w:rsid w:val="00E141FB"/>
    <w:rsid w:val="00E4469D"/>
    <w:rsid w:val="00EA1795"/>
    <w:rsid w:val="00EE01A3"/>
    <w:rsid w:val="00EE3180"/>
    <w:rsid w:val="00F03E44"/>
    <w:rsid w:val="00F55093"/>
    <w:rsid w:val="00FC6143"/>
    <w:rsid w:val="00FF2189"/>
    <w:rsid w:val="392C50EF"/>
    <w:rsid w:val="5D12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ody Text Indent 2"/>
    <w:basedOn w:val="1"/>
    <w:link w:val="13"/>
    <w:uiPriority w:val="0"/>
    <w:pPr>
      <w:ind w:firstLine="560" w:firstLineChars="200"/>
    </w:pPr>
    <w:rPr>
      <w:rFonts w:ascii="Times New Roman" w:hAnsi="Times New Roman" w:eastAsia="宋体" w:cs="Times New Roman"/>
      <w:sz w:val="28"/>
      <w:szCs w:val="20"/>
      <w:lang w:val="zh-CN" w:eastAsia="zh-CN"/>
    </w:rPr>
  </w:style>
  <w:style w:type="paragraph" w:styleId="4">
    <w:name w:val="Balloon Text"/>
    <w:basedOn w:val="1"/>
    <w:link w:val="18"/>
    <w:uiPriority w:val="0"/>
    <w:rPr>
      <w:sz w:val="18"/>
      <w:szCs w:val="18"/>
    </w:rPr>
  </w:style>
  <w:style w:type="paragraph" w:styleId="5">
    <w:name w:val="footer"/>
    <w:basedOn w:val="1"/>
    <w:link w:val="15"/>
    <w:uiPriority w:val="0"/>
    <w:pPr>
      <w:tabs>
        <w:tab w:val="center" w:pos="4153"/>
        <w:tab w:val="right" w:pos="8306"/>
      </w:tabs>
      <w:snapToGrid w:val="0"/>
      <w:jc w:val="left"/>
    </w:pPr>
    <w:rPr>
      <w:sz w:val="18"/>
      <w:szCs w:val="18"/>
    </w:rPr>
  </w:style>
  <w:style w:type="paragraph" w:styleId="6">
    <w:name w:val="header"/>
    <w:basedOn w:val="1"/>
    <w:link w:val="14"/>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 w:type="paragraph" w:styleId="8">
    <w:name w:val="annotation subject"/>
    <w:basedOn w:val="2"/>
    <w:next w:val="2"/>
    <w:link w:val="17"/>
    <w:uiPriority w:val="0"/>
    <w:rPr>
      <w:b/>
      <w:bCs/>
    </w:rPr>
  </w:style>
  <w:style w:type="character" w:styleId="11">
    <w:name w:val="annotation reference"/>
    <w:basedOn w:val="10"/>
    <w:semiHidden/>
    <w:unhideWhenUsed/>
    <w:qFormat/>
    <w:uiPriority w:val="99"/>
    <w:rPr>
      <w:sz w:val="21"/>
      <w:szCs w:val="21"/>
    </w:rPr>
  </w:style>
  <w:style w:type="character" w:styleId="12">
    <w:name w:val="footnote reference"/>
    <w:basedOn w:val="10"/>
    <w:qFormat/>
    <w:uiPriority w:val="0"/>
    <w:rPr>
      <w:vertAlign w:val="superscript"/>
    </w:rPr>
  </w:style>
  <w:style w:type="character" w:customStyle="1" w:styleId="13">
    <w:name w:val="正文文本缩进 2 字符"/>
    <w:basedOn w:val="10"/>
    <w:link w:val="3"/>
    <w:uiPriority w:val="0"/>
    <w:rPr>
      <w:kern w:val="2"/>
      <w:sz w:val="28"/>
      <w:lang w:val="zh-CN" w:eastAsia="zh-CN"/>
    </w:rPr>
  </w:style>
  <w:style w:type="character" w:customStyle="1" w:styleId="14">
    <w:name w:val="页眉 字符"/>
    <w:basedOn w:val="10"/>
    <w:link w:val="6"/>
    <w:uiPriority w:val="0"/>
    <w:rPr>
      <w:rFonts w:asciiTheme="minorHAnsi" w:hAnsiTheme="minorHAnsi" w:eastAsiaTheme="minorEastAsia" w:cstheme="minorBidi"/>
      <w:kern w:val="2"/>
      <w:sz w:val="18"/>
      <w:szCs w:val="18"/>
    </w:rPr>
  </w:style>
  <w:style w:type="character" w:customStyle="1" w:styleId="15">
    <w:name w:val="页脚 字符"/>
    <w:basedOn w:val="10"/>
    <w:link w:val="5"/>
    <w:uiPriority w:val="0"/>
    <w:rPr>
      <w:rFonts w:asciiTheme="minorHAnsi" w:hAnsiTheme="minorHAnsi" w:eastAsiaTheme="minorEastAsia" w:cstheme="minorBidi"/>
      <w:kern w:val="2"/>
      <w:sz w:val="18"/>
      <w:szCs w:val="18"/>
    </w:rPr>
  </w:style>
  <w:style w:type="character" w:customStyle="1" w:styleId="16">
    <w:name w:val="批注文字 字符"/>
    <w:basedOn w:val="10"/>
    <w:link w:val="2"/>
    <w:semiHidden/>
    <w:uiPriority w:val="99"/>
    <w:rPr>
      <w:rFonts w:asciiTheme="minorHAnsi" w:hAnsiTheme="minorHAnsi" w:eastAsiaTheme="minorEastAsia" w:cstheme="minorBidi"/>
      <w:kern w:val="2"/>
      <w:sz w:val="21"/>
      <w:szCs w:val="22"/>
    </w:rPr>
  </w:style>
  <w:style w:type="character" w:customStyle="1" w:styleId="17">
    <w:name w:val="批注主题 字符"/>
    <w:basedOn w:val="16"/>
    <w:link w:val="8"/>
    <w:uiPriority w:val="0"/>
    <w:rPr>
      <w:rFonts w:asciiTheme="minorHAnsi" w:hAnsiTheme="minorHAnsi" w:eastAsiaTheme="minorEastAsia" w:cstheme="minorBidi"/>
      <w:b/>
      <w:bCs/>
      <w:kern w:val="2"/>
      <w:sz w:val="21"/>
      <w:szCs w:val="22"/>
    </w:rPr>
  </w:style>
  <w:style w:type="character" w:customStyle="1" w:styleId="18">
    <w:name w:val="批注框文本 字符"/>
    <w:basedOn w:val="10"/>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335</Words>
  <Characters>1914</Characters>
  <Lines>15</Lines>
  <Paragraphs>4</Paragraphs>
  <TotalTime>9</TotalTime>
  <ScaleCrop>false</ScaleCrop>
  <LinksUpToDate>false</LinksUpToDate>
  <CharactersWithSpaces>2245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2020-08-08T02:49:00Z</dcterms:created>
  <dc:creator>陶</dc:creator>
  <cp:lastModifiedBy>钱程</cp:lastModifiedBy>
  <cp:lastPrinted>2020-08-04T04:22:00Z</cp:lastPrinted>
  <dcterms:modified xsi:type="dcterms:W3CDTF">2023-11-14T05:53:59Z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208D7E97DFDF4E518EEBF65AE26A2255</vt:lpwstr>
  </property>
</Properties>
</file>