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 xml:space="preserve"> 信息管理与信息系统专业（金融信息管理）本科人才培养方案</w:t>
      </w:r>
    </w:p>
    <w:p>
      <w:pPr>
        <w:pStyle w:val="5"/>
        <w:tabs>
          <w:tab w:val="left" w:pos="1380"/>
        </w:tabs>
        <w:spacing w:before="0" w:after="0" w:line="560" w:lineRule="exact"/>
        <w:jc w:val="center"/>
        <w:rPr>
          <w:rFonts w:ascii="方正小标宋简体" w:hAnsi="Times New Roman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（专业代码：</w:t>
      </w:r>
      <w:r>
        <w:rPr>
          <w:rFonts w:ascii="方正小标宋简体" w:eastAsia="方正小标宋简体"/>
          <w:bCs/>
          <w:sz w:val="44"/>
          <w:szCs w:val="44"/>
        </w:rPr>
        <w:t>120102</w:t>
      </w:r>
      <w:r>
        <w:rPr>
          <w:rFonts w:hint="eastAsia" w:ascii="方正小标宋简体" w:eastAsia="方正小标宋简体"/>
          <w:bCs/>
          <w:sz w:val="44"/>
          <w:szCs w:val="44"/>
        </w:rPr>
        <w:t>）</w:t>
      </w:r>
    </w:p>
    <w:p>
      <w:pPr>
        <w:spacing w:line="360" w:lineRule="auto"/>
        <w:rPr>
          <w:rFonts w:ascii="仿宋_GB2312" w:eastAsia="仿宋_GB2312"/>
          <w:sz w:val="32"/>
          <w:szCs w:val="32"/>
        </w:rPr>
      </w:pP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一、培养目标</w:t>
      </w:r>
    </w:p>
    <w:p>
      <w:pPr>
        <w:pStyle w:val="2"/>
        <w:spacing w:before="93" w:beforeLines="30" w:line="360" w:lineRule="auto"/>
        <w:ind w:left="0" w:leftChars="0"/>
        <w:rPr>
          <w:color w:val="000000"/>
          <w:sz w:val="24"/>
        </w:rPr>
      </w:pPr>
      <w:r>
        <w:rPr>
          <w:color w:val="000000"/>
          <w:sz w:val="24"/>
        </w:rPr>
        <w:t xml:space="preserve">    </w:t>
      </w:r>
      <w:r>
        <w:rPr>
          <w:rFonts w:hint="eastAsia"/>
          <w:color w:val="000000"/>
          <w:sz w:val="24"/>
        </w:rPr>
        <w:t>本专业与行业发展紧密结合，参考全球认可度较高的金融类证书认证课程设置，以英文为教学语言，培养思想健康、政治正确、体魄强健，具有正确社会主义核心价值观、明辨性思维，较强的专业软件应用和外语应用能力，规范使用语言文字的意识和应用能力，系统的信息系统认知，掌握信息管理、金融信息数据分析的方法与手段，具有良好的沟通和关系拓展能力、具有人文素养、国际视野、创新与创业精神和领导力，能够在跨国企业、会计师事务所、金融机构以及相关政府部门从事信息管理、信息系统设计、信息技术开发、金融信息数据分析等方面工作，并具有出国深造、海外就业等发展潜力的国际化、应用型高级专业人才。</w:t>
      </w:r>
      <w:r>
        <w:rPr>
          <w:color w:val="000000"/>
          <w:sz w:val="24"/>
        </w:rPr>
        <w:t xml:space="preserve">   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二、毕业要求</w:t>
      </w:r>
    </w:p>
    <w:p>
      <w:pPr>
        <w:pStyle w:val="8"/>
        <w:widowControl/>
        <w:numPr>
          <w:ilvl w:val="0"/>
          <w:numId w:val="1"/>
        </w:numPr>
        <w:spacing w:line="360" w:lineRule="auto"/>
        <w:ind w:firstLine="0" w:firstLineChars="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ascii="宋体" w:hAnsi="宋体"/>
          <w:bCs/>
          <w:kern w:val="0"/>
          <w:sz w:val="24"/>
          <w:szCs w:val="24"/>
        </w:rPr>
        <w:t xml:space="preserve">    </w:t>
      </w:r>
      <w:r>
        <w:rPr>
          <w:rFonts w:hint="eastAsia" w:ascii="宋体" w:hAnsi="宋体"/>
          <w:bCs/>
          <w:kern w:val="0"/>
          <w:sz w:val="24"/>
          <w:szCs w:val="24"/>
        </w:rPr>
        <w:t>1.</w:t>
      </w:r>
      <w:r>
        <w:rPr>
          <w:rFonts w:hint="eastAsia" w:ascii="宋体" w:hAnsi="宋体"/>
          <w:bCs/>
          <w:kern w:val="0"/>
          <w:sz w:val="24"/>
          <w:szCs w:val="24"/>
        </w:rPr>
        <w:tab/>
      </w:r>
      <w:r>
        <w:rPr>
          <w:rFonts w:hint="eastAsia" w:ascii="宋体" w:hAnsi="宋体"/>
          <w:bCs/>
          <w:kern w:val="0"/>
          <w:sz w:val="24"/>
          <w:szCs w:val="24"/>
        </w:rPr>
        <w:t>掌握马克思主义、毛泽东思想和中国特色社会主义理论体系；具有良好的思想品德、社会公德、个人修养和法律意识；具有爱岗敬业、遵纪守法和团结合作的品质；具有健康的心理和体魄；具有为国家富强、民族昌盛而奋斗的志向和责任感。</w:t>
      </w:r>
    </w:p>
    <w:p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   </w:t>
      </w: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hint="eastAsia" w:ascii="宋体" w:hAnsi="宋体"/>
          <w:bCs/>
          <w:kern w:val="0"/>
          <w:sz w:val="24"/>
        </w:rPr>
        <w:tab/>
      </w:r>
      <w:r>
        <w:rPr>
          <w:rFonts w:hint="eastAsia" w:ascii="宋体" w:hAnsi="宋体"/>
          <w:bCs/>
          <w:kern w:val="0"/>
          <w:sz w:val="24"/>
        </w:rPr>
        <w:t>能够使用书面和口头表达方式与国内外业界同行、社会公众就本专业领域现象和问题进行有效沟通与交流，同时能利用英文进行顺畅有效的沟通。具有团队协作意识，能够在团队活动中充分发挥个人能力，与其他成员进行良好的沟通与协作。</w:t>
      </w:r>
    </w:p>
    <w:p>
      <w:pPr>
        <w:pStyle w:val="8"/>
        <w:widowControl/>
        <w:numPr>
          <w:ilvl w:val="0"/>
          <w:numId w:val="2"/>
        </w:numPr>
        <w:spacing w:line="360" w:lineRule="auto"/>
        <w:ind w:left="0" w:firstLine="476" w:firstLineChars="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逻辑清晰，具有明辨性思维，能够辩证的看待、分析社会环境、经济环境、政治环境、技术环境的变化所产生的影响，具备终身学习的能力。</w:t>
      </w:r>
    </w:p>
    <w:p>
      <w:pPr>
        <w:pStyle w:val="8"/>
        <w:widowControl/>
        <w:numPr>
          <w:ilvl w:val="0"/>
          <w:numId w:val="2"/>
        </w:numPr>
        <w:spacing w:line="360" w:lineRule="auto"/>
        <w:ind w:left="0" w:firstLine="476" w:firstLineChars="0"/>
        <w:jc w:val="left"/>
        <w:rPr>
          <w:rFonts w:ascii="宋体" w:hAnsi="宋体"/>
          <w:bCs/>
          <w:kern w:val="0"/>
          <w:sz w:val="24"/>
          <w:szCs w:val="24"/>
        </w:rPr>
      </w:pPr>
      <w:r>
        <w:rPr>
          <w:rFonts w:hint="eastAsia" w:ascii="宋体" w:hAnsi="宋体"/>
          <w:bCs/>
          <w:kern w:val="0"/>
          <w:sz w:val="24"/>
          <w:szCs w:val="24"/>
        </w:rPr>
        <w:t>对自然科学、哲学、艺术、文学等知识有广泛的涉猎，具备较为深厚的人文与科学素养，奠定人才全面、可持续发展的基础。能够与时俱进，了解各学科的发展前沿，具有国际视野。</w:t>
      </w:r>
    </w:p>
    <w:p>
      <w:pPr>
        <w:pStyle w:val="8"/>
        <w:widowControl/>
        <w:numPr>
          <w:ilvl w:val="0"/>
          <w:numId w:val="2"/>
        </w:numPr>
        <w:spacing w:line="360" w:lineRule="auto"/>
        <w:ind w:left="0" w:firstLine="462" w:firstLineChars="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能够恰当使用现代工具，对本专业领域数据信息进行收集和分析处理，完成所从事的专业领域任务。</w:t>
      </w:r>
    </w:p>
    <w:p>
      <w:pPr>
        <w:widowControl/>
        <w:spacing w:line="360" w:lineRule="auto"/>
        <w:jc w:val="left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 xml:space="preserve">    </w:t>
      </w:r>
      <w:r>
        <w:rPr>
          <w:rFonts w:hint="eastAsia" w:ascii="宋体" w:hAnsi="宋体"/>
          <w:bCs/>
          <w:kern w:val="0"/>
          <w:sz w:val="24"/>
        </w:rPr>
        <w:t>6.</w:t>
      </w:r>
      <w:r>
        <w:rPr>
          <w:rFonts w:ascii="宋体" w:hAnsi="宋体"/>
          <w:bCs/>
          <w:kern w:val="0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掌握金融信息管理与信息系统的基本理论和基本知识，了解专业前沿发展的现状与趋势，具有一定的信息系统、信息资源开发、金融数据分析的实践能力和技术技能；熟悉金融管理和信息技术等领域的相关政策、法律、法规和标准等方面的知识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三、核心课程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/>
          <w:sz w:val="24"/>
        </w:rPr>
        <w:t>经济学、管理学、运筹学、管理信息系统、数据库、计算机网络、系统分析与设计、管理统计学。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四、培养</w:t>
      </w:r>
      <w:r>
        <w:rPr>
          <w:rFonts w:ascii="宋体" w:hAnsi="宋体"/>
          <w:b/>
          <w:bCs/>
          <w:kern w:val="0"/>
          <w:sz w:val="24"/>
          <w:szCs w:val="32"/>
        </w:rPr>
        <w:t>特色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1．</w:t>
      </w:r>
      <w:r>
        <w:rPr>
          <w:rFonts w:hint="eastAsia" w:ascii="宋体" w:hAnsi="宋体"/>
          <w:b/>
          <w:bCs/>
          <w:kern w:val="0"/>
          <w:sz w:val="24"/>
        </w:rPr>
        <w:t>学位培养与资格证书相结合</w:t>
      </w:r>
      <w:r>
        <w:rPr>
          <w:rFonts w:hint="eastAsia" w:ascii="宋体" w:hAnsi="宋体"/>
          <w:bCs/>
          <w:kern w:val="0"/>
          <w:sz w:val="24"/>
        </w:rPr>
        <w:t>。将CFA考试科目融于人才培养方案，采用全英文教学。在课程的安排上即涵盖了信息管理专业的核心课程，又把CFA的考试科目有效的融入，让学生能够集管理知识与技能于一体，又能够获得专业证书，满足社会对于综合性人才的需求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2．</w:t>
      </w:r>
      <w:r>
        <w:rPr>
          <w:rFonts w:hint="eastAsia" w:ascii="宋体" w:hAnsi="宋体"/>
          <w:b/>
          <w:bCs/>
          <w:kern w:val="0"/>
          <w:sz w:val="24"/>
        </w:rPr>
        <w:t>本土教育与国际教育相结合</w:t>
      </w:r>
      <w:r>
        <w:rPr>
          <w:rFonts w:hint="eastAsia" w:ascii="宋体" w:hAnsi="宋体"/>
          <w:bCs/>
          <w:kern w:val="0"/>
          <w:sz w:val="24"/>
        </w:rPr>
        <w:t>。实行国际惯例与中国特色相结合；海归学者与外籍教师的多种教学风格相结合；引进CFA（注册金融分析师）课程教材及考试体系，学生可自愿申请择优进入证书实验班项目。采用全英文授课和学习的模式，坚持以学生为本，以教学目标为导向，注重过程评价的教学模式。设立学习指导中心（Learning Center），在课外免费为学生提供学业辅导，为学生提供良好的外语学习和思考环境。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3．</w:t>
      </w:r>
      <w:r>
        <w:rPr>
          <w:rFonts w:hint="eastAsia" w:ascii="宋体" w:hAnsi="宋体"/>
          <w:b/>
          <w:bCs/>
          <w:kern w:val="0"/>
          <w:sz w:val="24"/>
        </w:rPr>
        <w:t>积极开展与国外一流大学的国际交流项目合作</w:t>
      </w:r>
      <w:r>
        <w:rPr>
          <w:rFonts w:hint="eastAsia" w:ascii="宋体" w:hAnsi="宋体"/>
          <w:bCs/>
          <w:kern w:val="0"/>
          <w:sz w:val="24"/>
        </w:rPr>
        <w:t>。采用3+1+1、2+2等模式，以派遣交流交换学生、攻读海外硕士学位等形式，推进越来越多的学生出国学习，积极利用和引进国外优质师资等教育资源，开拓学生的国际视野、提升学生的综合竞争能力。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五</w:t>
      </w:r>
      <w:r>
        <w:rPr>
          <w:rFonts w:ascii="宋体" w:hAnsi="宋体"/>
          <w:b/>
          <w:bCs/>
          <w:kern w:val="0"/>
          <w:sz w:val="24"/>
          <w:szCs w:val="32"/>
        </w:rPr>
        <w:t>、</w:t>
      </w:r>
      <w:r>
        <w:rPr>
          <w:rFonts w:hint="eastAsia" w:ascii="宋体" w:hAnsi="宋体"/>
          <w:b/>
          <w:bCs/>
          <w:kern w:val="0"/>
          <w:sz w:val="24"/>
          <w:szCs w:val="32"/>
        </w:rPr>
        <w:t>学制和学位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本专业基本学制为四年，实行弹性修业年限制度，学生在校修业年限可以提前至三年或延长至六年，修满规定的学分准予毕业。符合学士学位授予条件者，授予</w:t>
      </w:r>
      <w:r>
        <w:rPr>
          <w:rFonts w:hint="eastAsia" w:hAnsi="宋体"/>
          <w:color w:val="000000"/>
          <w:sz w:val="24"/>
        </w:rPr>
        <w:t>管理学</w:t>
      </w:r>
      <w:r>
        <w:rPr>
          <w:rFonts w:hint="eastAsia" w:ascii="宋体" w:hAnsi="宋体"/>
          <w:bCs/>
          <w:kern w:val="0"/>
          <w:sz w:val="24"/>
        </w:rPr>
        <w:t>学士学位。</w:t>
      </w:r>
    </w:p>
    <w:p>
      <w:pPr>
        <w:pStyle w:val="8"/>
        <w:widowControl/>
        <w:spacing w:line="360" w:lineRule="auto"/>
        <w:ind w:left="420" w:firstLine="0" w:firstLineChars="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六、学分一览表</w:t>
      </w:r>
    </w:p>
    <w:p>
      <w:pPr>
        <w:pStyle w:val="8"/>
        <w:widowControl/>
        <w:spacing w:line="360" w:lineRule="auto"/>
        <w:ind w:left="720"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总学分一览表</w:t>
      </w:r>
    </w:p>
    <w:tbl>
      <w:tblPr>
        <w:tblStyle w:val="6"/>
        <w:tblW w:w="864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1548"/>
        <w:gridCol w:w="728"/>
        <w:gridCol w:w="1538"/>
        <w:gridCol w:w="767"/>
        <w:gridCol w:w="1407"/>
        <w:gridCol w:w="14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tcBorders>
              <w:top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总学分</w:t>
            </w:r>
          </w:p>
        </w:tc>
        <w:tc>
          <w:tcPr>
            <w:tcW w:w="4581" w:type="dxa"/>
            <w:gridSpan w:val="4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教学方式</w:t>
            </w:r>
          </w:p>
        </w:tc>
        <w:tc>
          <w:tcPr>
            <w:tcW w:w="2835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理论与实践教学比例（%）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restart"/>
            <w:tcBorders>
              <w:top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59</w:t>
            </w:r>
          </w:p>
        </w:tc>
        <w:tc>
          <w:tcPr>
            <w:tcW w:w="154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课堂教学环节</w:t>
            </w:r>
          </w:p>
        </w:tc>
        <w:tc>
          <w:tcPr>
            <w:tcW w:w="7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13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9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理论教学</w:t>
            </w:r>
          </w:p>
        </w:tc>
        <w:tc>
          <w:tcPr>
            <w:tcW w:w="14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>6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8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实验教学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36</w:t>
            </w:r>
          </w:p>
        </w:tc>
        <w:tc>
          <w:tcPr>
            <w:tcW w:w="1407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实践教学</w:t>
            </w:r>
          </w:p>
        </w:tc>
        <w:tc>
          <w:tcPr>
            <w:tcW w:w="1428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31" w:type="dxa"/>
            <w:vMerge w:val="continue"/>
            <w:tcBorders>
              <w:top w:val="single" w:color="000000" w:sz="8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课外教学环节</w:t>
            </w:r>
          </w:p>
        </w:tc>
        <w:tc>
          <w:tcPr>
            <w:tcW w:w="72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53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实习、军事技能等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ind w:left="-197"/>
              <w:jc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ascii="宋体" w:hAnsi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07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8" w:type="dxa"/>
            <w:vMerge w:val="continue"/>
            <w:tcBorders>
              <w:top w:val="single" w:color="000000" w:sz="8" w:space="0"/>
              <w:left w:val="single" w:color="000000" w:sz="6" w:space="0"/>
              <w:bottom w:val="single" w:color="000000" w:sz="12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pStyle w:val="5"/>
        <w:tabs>
          <w:tab w:val="left" w:pos="1380"/>
        </w:tabs>
        <w:spacing w:before="0" w:after="0" w:line="560" w:lineRule="exact"/>
        <w:rPr>
          <w:rFonts w:ascii="仿宋_GB2312" w:hAnsi="仿宋" w:eastAsia="仿宋_GB2312"/>
          <w:bCs/>
          <w:sz w:val="32"/>
          <w:szCs w:val="32"/>
        </w:rPr>
      </w:pPr>
    </w:p>
    <w:p>
      <w:pPr>
        <w:pStyle w:val="8"/>
        <w:widowControl/>
        <w:spacing w:line="360" w:lineRule="auto"/>
        <w:ind w:left="720"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课堂教学学时分配表</w:t>
      </w:r>
    </w:p>
    <w:tbl>
      <w:tblPr>
        <w:tblStyle w:val="6"/>
        <w:tblW w:w="8436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941"/>
        <w:gridCol w:w="1620"/>
        <w:gridCol w:w="1440"/>
        <w:gridCol w:w="823"/>
        <w:gridCol w:w="824"/>
        <w:gridCol w:w="1848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门数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总学时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总学分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比例（%）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通识教育必修课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32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40.46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学科基础课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384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18.32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专业核心课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240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11.45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通识教育选修课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84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7.63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个性教育</w:t>
            </w: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专业提升课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≥29</w:t>
            </w:r>
          </w:p>
        </w:tc>
        <w:tc>
          <w:tcPr>
            <w:tcW w:w="82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848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22.14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40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41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专业拓展课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823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824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8" w:type="dxa"/>
            <w:vMerge w:val="continue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81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合计</w:t>
            </w:r>
          </w:p>
        </w:tc>
        <w:tc>
          <w:tcPr>
            <w:tcW w:w="162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440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——</w:t>
            </w:r>
          </w:p>
        </w:tc>
        <w:tc>
          <w:tcPr>
            <w:tcW w:w="1647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31</w:t>
            </w:r>
          </w:p>
        </w:tc>
        <w:tc>
          <w:tcPr>
            <w:tcW w:w="1848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100</w:t>
            </w:r>
          </w:p>
        </w:tc>
      </w:tr>
    </w:tbl>
    <w:p>
      <w:pPr>
        <w:pStyle w:val="8"/>
        <w:widowControl/>
        <w:spacing w:line="360" w:lineRule="auto"/>
        <w:ind w:left="720" w:firstLine="0" w:firstLineChars="0"/>
        <w:rPr>
          <w:rFonts w:ascii="宋体" w:hAnsi="宋体"/>
          <w:b/>
          <w:bCs/>
          <w:kern w:val="0"/>
          <w:sz w:val="24"/>
          <w:szCs w:val="32"/>
        </w:rPr>
      </w:pPr>
    </w:p>
    <w:p>
      <w:pPr>
        <w:pStyle w:val="8"/>
        <w:widowControl/>
        <w:spacing w:line="360" w:lineRule="auto"/>
        <w:ind w:left="720" w:firstLine="0" w:firstLineChars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实践教学环节一览表</w:t>
      </w:r>
    </w:p>
    <w:tbl>
      <w:tblPr>
        <w:tblStyle w:val="6"/>
        <w:tblW w:w="8342" w:type="dxa"/>
        <w:jc w:val="center"/>
        <w:tblBorders>
          <w:top w:val="single" w:color="auto" w:sz="12" w:space="0"/>
          <w:left w:val="none" w:color="auto" w:sz="0" w:space="0"/>
          <w:bottom w:val="single" w:color="auto" w:sz="12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2552"/>
        <w:gridCol w:w="1126"/>
        <w:gridCol w:w="1191"/>
        <w:gridCol w:w="1092"/>
        <w:gridCol w:w="1087"/>
      </w:tblGrid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类别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实践环节</w:t>
            </w:r>
          </w:p>
        </w:tc>
        <w:tc>
          <w:tcPr>
            <w:tcW w:w="1126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学期安排</w:t>
            </w:r>
          </w:p>
        </w:tc>
        <w:tc>
          <w:tcPr>
            <w:tcW w:w="1191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周数</w:t>
            </w:r>
          </w:p>
        </w:tc>
        <w:tc>
          <w:tcPr>
            <w:tcW w:w="1092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学时</w:t>
            </w:r>
          </w:p>
        </w:tc>
        <w:tc>
          <w:tcPr>
            <w:tcW w:w="1087" w:type="dxa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实习类</w:t>
            </w:r>
          </w:p>
        </w:tc>
        <w:tc>
          <w:tcPr>
            <w:tcW w:w="255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军事技能</w:t>
            </w:r>
          </w:p>
        </w:tc>
        <w:tc>
          <w:tcPr>
            <w:tcW w:w="1126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  <w:tc>
          <w:tcPr>
            <w:tcW w:w="1191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认知实习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毕业实习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毕业设计（论文）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8 </w:t>
            </w: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素养提升类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创新创业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第二课堂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思政育人类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思想道德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与法治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毛泽东思想与中国特色社会主义理论体系概论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中国近现代史纲要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马克思主义基本原理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形势与政策（一）</w:t>
            </w:r>
          </w:p>
        </w:tc>
        <w:tc>
          <w:tcPr>
            <w:tcW w:w="112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形势与政策（二）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形势与政策（五）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形势与政策（六）</w:t>
            </w:r>
          </w:p>
        </w:tc>
        <w:tc>
          <w:tcPr>
            <w:tcW w:w="112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191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top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0.25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习近平新时代中国特色社会主义思想概论社会实践</w:t>
            </w:r>
          </w:p>
        </w:tc>
        <w:tc>
          <w:tcPr>
            <w:tcW w:w="1126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  <w:vAlign w:val="bottom"/>
          </w:tcPr>
          <w:p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color w:val="000000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劳动育人类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劳动类实践课程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专业实验类</w:t>
            </w: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MS Office高级应用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管理信息系统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数据库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计算机网络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系统分析与设计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管理统计学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Java程序设计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Python程序设计基础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Web网页设计与编程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信息系统项目管理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电子商务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C语言编程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Excel高阶应用实务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数据结构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高级数据库管理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金融应用程序设计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Photoshop应用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手机金融App开发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高阶金融网站开发  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Python爬虫与数据分析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Tableau可视化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29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2" w:type="dxa"/>
          </w:tcPr>
          <w:p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金融数据分析实战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>
        <w:tblPrEx>
          <w:tblBorders>
            <w:top w:val="single" w:color="auto" w:sz="12" w:space="0"/>
            <w:left w:val="none" w:color="auto" w:sz="0" w:space="0"/>
            <w:bottom w:val="single" w:color="auto" w:sz="12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3846" w:type="dxa"/>
            <w:gridSpan w:val="2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合计</w:t>
            </w:r>
          </w:p>
        </w:tc>
        <w:tc>
          <w:tcPr>
            <w:tcW w:w="1126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191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092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b/>
                <w:color w:val="7F7F7F"/>
                <w:szCs w:val="21"/>
              </w:rPr>
            </w:pPr>
          </w:p>
        </w:tc>
        <w:tc>
          <w:tcPr>
            <w:tcW w:w="1087" w:type="dxa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</w:rPr>
              <w:t>6</w:t>
            </w: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bookmarkStart w:id="0" w:name="_GoBack"/>
            <w:bookmarkEnd w:id="0"/>
          </w:p>
        </w:tc>
      </w:tr>
    </w:tbl>
    <w:p>
      <w:pPr>
        <w:pStyle w:val="8"/>
        <w:widowControl/>
        <w:spacing w:line="560" w:lineRule="exact"/>
        <w:ind w:left="720" w:firstLine="0" w:firstLineChars="0"/>
        <w:jc w:val="left"/>
        <w:rPr>
          <w:rFonts w:ascii="仿宋_GB2312" w:hAnsi="宋体" w:eastAsia="仿宋_GB2312"/>
          <w:b/>
          <w:bCs/>
          <w:kern w:val="0"/>
          <w:sz w:val="32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int="eastAsia" w:ascii="宋体" w:hAnsi="宋体"/>
          <w:b/>
          <w:bCs/>
          <w:kern w:val="0"/>
          <w:sz w:val="24"/>
          <w:szCs w:val="32"/>
        </w:rPr>
        <w:t>七、本科学分制指导性教学计划表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C521B2"/>
    <w:multiLevelType w:val="multilevel"/>
    <w:tmpl w:val="01C521B2"/>
    <w:lvl w:ilvl="0" w:tentative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56D21"/>
    <w:multiLevelType w:val="multilevel"/>
    <w:tmpl w:val="77856D21"/>
    <w:lvl w:ilvl="0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15431B"/>
    <w:rsid w:val="000276B1"/>
    <w:rsid w:val="00037150"/>
    <w:rsid w:val="00064CC2"/>
    <w:rsid w:val="00076DA1"/>
    <w:rsid w:val="00124251"/>
    <w:rsid w:val="0015431B"/>
    <w:rsid w:val="001A3712"/>
    <w:rsid w:val="001B3C02"/>
    <w:rsid w:val="001C034D"/>
    <w:rsid w:val="001D3D7B"/>
    <w:rsid w:val="001E3EC5"/>
    <w:rsid w:val="001F7DED"/>
    <w:rsid w:val="0029202E"/>
    <w:rsid w:val="00294A24"/>
    <w:rsid w:val="002D0CEF"/>
    <w:rsid w:val="002E6BEC"/>
    <w:rsid w:val="00342788"/>
    <w:rsid w:val="00365D93"/>
    <w:rsid w:val="00403503"/>
    <w:rsid w:val="0047014B"/>
    <w:rsid w:val="00470D3B"/>
    <w:rsid w:val="00486EC3"/>
    <w:rsid w:val="004E797B"/>
    <w:rsid w:val="005362DA"/>
    <w:rsid w:val="005956B6"/>
    <w:rsid w:val="005C0BB3"/>
    <w:rsid w:val="005C759C"/>
    <w:rsid w:val="0060442B"/>
    <w:rsid w:val="007504F4"/>
    <w:rsid w:val="0075411D"/>
    <w:rsid w:val="007A7147"/>
    <w:rsid w:val="00801C60"/>
    <w:rsid w:val="00881FD5"/>
    <w:rsid w:val="008B1323"/>
    <w:rsid w:val="008F4EC7"/>
    <w:rsid w:val="008F567E"/>
    <w:rsid w:val="008F60F9"/>
    <w:rsid w:val="00934EE9"/>
    <w:rsid w:val="0097298F"/>
    <w:rsid w:val="009B7CA7"/>
    <w:rsid w:val="00A369B0"/>
    <w:rsid w:val="00A727BD"/>
    <w:rsid w:val="00BC15C9"/>
    <w:rsid w:val="00C64BE3"/>
    <w:rsid w:val="00C950EF"/>
    <w:rsid w:val="00C9520A"/>
    <w:rsid w:val="00CA3628"/>
    <w:rsid w:val="00CC3229"/>
    <w:rsid w:val="00D518CC"/>
    <w:rsid w:val="00D57426"/>
    <w:rsid w:val="00DA3621"/>
    <w:rsid w:val="00E50DBA"/>
    <w:rsid w:val="00EA3993"/>
    <w:rsid w:val="00EA503F"/>
    <w:rsid w:val="00EE6265"/>
    <w:rsid w:val="00EF7AD4"/>
    <w:rsid w:val="00F069E1"/>
    <w:rsid w:val="00F327EF"/>
    <w:rsid w:val="00F4442F"/>
    <w:rsid w:val="00FA0607"/>
    <w:rsid w:val="00FA2A63"/>
    <w:rsid w:val="00FB15BC"/>
    <w:rsid w:val="00FC0C82"/>
    <w:rsid w:val="00FF7880"/>
    <w:rsid w:val="5DEC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nhideWhenUsed="0" w:uiPriority="99" w:semiHidden="0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Continue"/>
    <w:basedOn w:val="1"/>
    <w:uiPriority w:val="99"/>
    <w:pPr>
      <w:spacing w:after="120"/>
      <w:ind w:left="420" w:leftChars="2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99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szCs w:val="21"/>
    </w:rPr>
  </w:style>
  <w:style w:type="character" w:customStyle="1" w:styleId="9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373</Words>
  <Characters>2128</Characters>
  <Lines>17</Lines>
  <Paragraphs>4</Paragraphs>
  <TotalTime>0</TotalTime>
  <ScaleCrop>false</ScaleCrop>
  <LinksUpToDate>false</LinksUpToDate>
  <CharactersWithSpaces>2497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2021-01-14T11:07:00Z</dcterms:created>
  <dc:creator>QianCheng</dc:creator>
  <cp:lastModifiedBy>5438</cp:lastModifiedBy>
  <dcterms:modified xsi:type="dcterms:W3CDTF">2022-12-09T12:30:23Z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059C462E7E3C4DB2AA65E5C2799AFA34</vt:lpwstr>
  </property>
</Properties>
</file>