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E89" w:rsidRDefault="004168DA">
      <w:pPr>
        <w:spacing w:line="560" w:lineRule="exact"/>
        <w:jc w:val="center"/>
        <w:rPr>
          <w:rFonts w:eastAsia="黑体"/>
          <w:sz w:val="32"/>
          <w:szCs w:val="32"/>
        </w:rPr>
      </w:pPr>
      <w:r>
        <w:rPr>
          <w:rFonts w:eastAsia="黑体"/>
          <w:sz w:val="32"/>
          <w:szCs w:val="32"/>
        </w:rPr>
        <w:t>《高级财务会计》教学大纲</w:t>
      </w:r>
    </w:p>
    <w:p w:rsidR="00124E89" w:rsidRDefault="00124E89">
      <w:pPr>
        <w:spacing w:line="560" w:lineRule="exact"/>
        <w:jc w:val="center"/>
        <w:rPr>
          <w:rFonts w:eastAsia="仿宋_GB2312"/>
          <w:sz w:val="32"/>
          <w:szCs w:val="32"/>
        </w:rPr>
      </w:pPr>
    </w:p>
    <w:p w:rsidR="00124E89" w:rsidRDefault="004168DA">
      <w:pPr>
        <w:pStyle w:val="a9"/>
        <w:tabs>
          <w:tab w:val="left" w:pos="0"/>
        </w:tabs>
        <w:spacing w:before="0" w:after="0" w:line="560" w:lineRule="exact"/>
        <w:ind w:firstLineChars="200" w:firstLine="560"/>
        <w:jc w:val="both"/>
        <w:rPr>
          <w:rFonts w:ascii="Times New Roman" w:eastAsia="黑体" w:hAnsi="Times New Roman" w:cs="Times New Roman"/>
          <w:sz w:val="28"/>
          <w:szCs w:val="28"/>
        </w:rPr>
      </w:pPr>
      <w:r>
        <w:rPr>
          <w:rFonts w:ascii="Times New Roman" w:eastAsia="黑体" w:hAnsi="Times New Roman" w:cs="Times New Roman"/>
          <w:sz w:val="28"/>
          <w:szCs w:val="28"/>
        </w:rPr>
        <w:t>课程编号：</w:t>
      </w:r>
      <w:r>
        <w:rPr>
          <w:rFonts w:ascii="Times New Roman" w:eastAsiaTheme="minorEastAsia" w:hAnsi="Times New Roman" w:cs="Times New Roman"/>
          <w:sz w:val="28"/>
          <w:szCs w:val="28"/>
        </w:rPr>
        <w:t>041204A</w:t>
      </w:r>
    </w:p>
    <w:p w:rsidR="00124E89" w:rsidRDefault="004168DA">
      <w:pPr>
        <w:pStyle w:val="a9"/>
        <w:tabs>
          <w:tab w:val="left" w:pos="0"/>
        </w:tabs>
        <w:spacing w:before="0" w:after="0" w:line="560" w:lineRule="exact"/>
        <w:ind w:firstLineChars="200" w:firstLine="560"/>
        <w:jc w:val="both"/>
        <w:rPr>
          <w:rFonts w:ascii="Times New Roman" w:hAnsi="Times New Roman" w:cs="Times New Roman"/>
          <w:sz w:val="28"/>
          <w:szCs w:val="28"/>
        </w:rPr>
      </w:pPr>
      <w:r>
        <w:rPr>
          <w:rFonts w:ascii="Times New Roman" w:eastAsia="黑体" w:hAnsi="Times New Roman" w:cs="Times New Roman"/>
          <w:sz w:val="28"/>
          <w:szCs w:val="28"/>
        </w:rPr>
        <w:t>课程类型：</w:t>
      </w:r>
      <w:r>
        <w:rPr>
          <w:rFonts w:ascii="Times New Roman" w:hAnsi="Times New Roman" w:cs="Times New Roman"/>
          <w:sz w:val="28"/>
          <w:szCs w:val="28"/>
        </w:rPr>
        <w:t>□</w:t>
      </w:r>
      <w:r>
        <w:rPr>
          <w:rFonts w:ascii="Times New Roman" w:hAnsi="Times New Roman" w:cs="Times New Roman"/>
          <w:sz w:val="28"/>
          <w:szCs w:val="28"/>
        </w:rPr>
        <w:t>通识教育必修课</w:t>
      </w:r>
      <w:r>
        <w:rPr>
          <w:rFonts w:ascii="Times New Roman" w:hAnsi="Times New Roman" w:cs="Times New Roman"/>
          <w:sz w:val="28"/>
          <w:szCs w:val="28"/>
        </w:rPr>
        <w:t xml:space="preserve">  □</w:t>
      </w:r>
      <w:r>
        <w:rPr>
          <w:rFonts w:ascii="Times New Roman" w:hAnsi="Times New Roman" w:cs="Times New Roman"/>
          <w:sz w:val="28"/>
          <w:szCs w:val="28"/>
        </w:rPr>
        <w:t>通识教育选修课</w:t>
      </w:r>
    </w:p>
    <w:p w:rsidR="00124E89" w:rsidRDefault="004168DA">
      <w:pPr>
        <w:pStyle w:val="a9"/>
        <w:tabs>
          <w:tab w:val="left" w:pos="0"/>
        </w:tabs>
        <w:spacing w:before="0" w:after="0" w:line="560" w:lineRule="exact"/>
        <w:ind w:firstLineChars="700" w:firstLine="196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学科基础课</w:t>
      </w:r>
      <w:r>
        <w:rPr>
          <w:rFonts w:ascii="Times New Roman" w:hAnsi="Times New Roman" w:cs="Times New Roman"/>
          <w:sz w:val="28"/>
          <w:szCs w:val="28"/>
        </w:rPr>
        <w:t xml:space="preserve">      √</w:t>
      </w:r>
      <w:r>
        <w:rPr>
          <w:rFonts w:ascii="Times New Roman" w:hAnsi="Times New Roman" w:cs="Times New Roman"/>
          <w:sz w:val="28"/>
          <w:szCs w:val="28"/>
        </w:rPr>
        <w:t>专业核心课</w:t>
      </w:r>
    </w:p>
    <w:p w:rsidR="00124E89" w:rsidRDefault="004168DA">
      <w:pPr>
        <w:pStyle w:val="a9"/>
        <w:tabs>
          <w:tab w:val="left" w:pos="0"/>
        </w:tabs>
        <w:spacing w:before="0" w:after="0" w:line="560" w:lineRule="exact"/>
        <w:ind w:firstLineChars="700" w:firstLine="196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专业提升课</w:t>
      </w:r>
      <w:r>
        <w:rPr>
          <w:rFonts w:ascii="Times New Roman" w:hAnsi="Times New Roman" w:cs="Times New Roman"/>
          <w:sz w:val="28"/>
          <w:szCs w:val="28"/>
        </w:rPr>
        <w:t xml:space="preserve">      </w:t>
      </w:r>
    </w:p>
    <w:p w:rsidR="00124E89" w:rsidRDefault="004168DA">
      <w:pPr>
        <w:pStyle w:val="a9"/>
        <w:tabs>
          <w:tab w:val="left" w:pos="0"/>
        </w:tabs>
        <w:spacing w:before="0" w:after="0" w:line="560" w:lineRule="exact"/>
        <w:ind w:firstLineChars="200" w:firstLine="560"/>
        <w:jc w:val="both"/>
        <w:rPr>
          <w:rFonts w:ascii="Times New Roman" w:eastAsia="黑体" w:hAnsi="Times New Roman" w:cs="Times New Roman"/>
          <w:sz w:val="28"/>
          <w:szCs w:val="28"/>
        </w:rPr>
      </w:pPr>
      <w:r>
        <w:rPr>
          <w:rFonts w:ascii="Times New Roman" w:eastAsia="黑体" w:hAnsi="Times New Roman" w:cs="Times New Roman"/>
          <w:sz w:val="28"/>
          <w:szCs w:val="28"/>
        </w:rPr>
        <w:t>总</w:t>
      </w:r>
      <w:r>
        <w:rPr>
          <w:rFonts w:ascii="Times New Roman" w:eastAsia="黑体" w:hAnsi="Times New Roman" w:cs="Times New Roman"/>
          <w:sz w:val="28"/>
          <w:szCs w:val="28"/>
        </w:rPr>
        <w:t xml:space="preserve"> </w:t>
      </w:r>
      <w:r>
        <w:rPr>
          <w:rFonts w:ascii="Times New Roman" w:eastAsia="黑体" w:hAnsi="Times New Roman" w:cs="Times New Roman"/>
          <w:sz w:val="28"/>
          <w:szCs w:val="28"/>
        </w:rPr>
        <w:t>学</w:t>
      </w:r>
      <w:r>
        <w:rPr>
          <w:rFonts w:ascii="Times New Roman" w:eastAsia="黑体" w:hAnsi="Times New Roman" w:cs="Times New Roman"/>
          <w:sz w:val="28"/>
          <w:szCs w:val="28"/>
        </w:rPr>
        <w:t xml:space="preserve"> </w:t>
      </w:r>
      <w:r>
        <w:rPr>
          <w:rFonts w:ascii="Times New Roman" w:eastAsia="黑体" w:hAnsi="Times New Roman" w:cs="Times New Roman"/>
          <w:sz w:val="28"/>
          <w:szCs w:val="28"/>
        </w:rPr>
        <w:t>时：</w:t>
      </w:r>
      <w:r>
        <w:rPr>
          <w:rFonts w:ascii="Times New Roman" w:eastAsiaTheme="minorEastAsia" w:hAnsi="Times New Roman" w:cs="Times New Roman"/>
          <w:sz w:val="28"/>
          <w:szCs w:val="28"/>
        </w:rPr>
        <w:t>64</w:t>
      </w:r>
      <w:r>
        <w:rPr>
          <w:rFonts w:ascii="Times New Roman" w:eastAsia="黑体" w:hAnsi="Times New Roman" w:cs="Times New Roman"/>
          <w:sz w:val="28"/>
          <w:szCs w:val="28"/>
        </w:rPr>
        <w:t xml:space="preserve">    </w:t>
      </w:r>
      <w:r>
        <w:rPr>
          <w:rFonts w:ascii="Times New Roman" w:eastAsia="黑体" w:hAnsi="Times New Roman" w:cs="Times New Roman"/>
          <w:sz w:val="28"/>
          <w:szCs w:val="28"/>
        </w:rPr>
        <w:t>讲课学时：</w:t>
      </w:r>
      <w:r>
        <w:rPr>
          <w:rFonts w:ascii="Times New Roman" w:eastAsiaTheme="minorEastAsia" w:hAnsi="Times New Roman" w:cs="Times New Roman"/>
          <w:sz w:val="28"/>
          <w:szCs w:val="28"/>
        </w:rPr>
        <w:t xml:space="preserve">64 </w:t>
      </w:r>
      <w:r>
        <w:rPr>
          <w:rFonts w:ascii="Times New Roman" w:eastAsia="黑体" w:hAnsi="Times New Roman" w:cs="Times New Roman"/>
          <w:sz w:val="28"/>
          <w:szCs w:val="28"/>
        </w:rPr>
        <w:t xml:space="preserve">   </w:t>
      </w:r>
      <w:r>
        <w:rPr>
          <w:rFonts w:ascii="Times New Roman" w:eastAsia="黑体" w:hAnsi="Times New Roman" w:cs="Times New Roman"/>
          <w:sz w:val="28"/>
          <w:szCs w:val="28"/>
        </w:rPr>
        <w:t>实验（上机）学时：</w:t>
      </w:r>
      <w:r>
        <w:rPr>
          <w:rFonts w:ascii="Times New Roman" w:eastAsiaTheme="minorEastAsia" w:hAnsi="Times New Roman" w:cs="Times New Roman"/>
          <w:sz w:val="28"/>
          <w:szCs w:val="28"/>
        </w:rPr>
        <w:t>0</w:t>
      </w:r>
    </w:p>
    <w:p w:rsidR="00124E89" w:rsidRDefault="004168DA">
      <w:pPr>
        <w:pStyle w:val="a9"/>
        <w:tabs>
          <w:tab w:val="left" w:pos="0"/>
        </w:tabs>
        <w:spacing w:before="0" w:after="0" w:line="560" w:lineRule="exact"/>
        <w:ind w:firstLineChars="200" w:firstLine="560"/>
        <w:jc w:val="both"/>
        <w:rPr>
          <w:rFonts w:ascii="Times New Roman" w:eastAsia="黑体" w:hAnsi="Times New Roman" w:cs="Times New Roman"/>
          <w:sz w:val="28"/>
          <w:szCs w:val="28"/>
        </w:rPr>
      </w:pPr>
      <w:r>
        <w:rPr>
          <w:rFonts w:ascii="Times New Roman" w:eastAsia="黑体" w:hAnsi="Times New Roman" w:cs="Times New Roman"/>
          <w:sz w:val="28"/>
          <w:szCs w:val="28"/>
        </w:rPr>
        <w:t>学　　分：</w:t>
      </w:r>
      <w:r>
        <w:rPr>
          <w:rFonts w:ascii="Times New Roman" w:eastAsiaTheme="minorEastAsia" w:hAnsi="Times New Roman" w:cs="Times New Roman"/>
          <w:sz w:val="28"/>
          <w:szCs w:val="28"/>
        </w:rPr>
        <w:t>4</w:t>
      </w:r>
    </w:p>
    <w:p w:rsidR="00124E89" w:rsidRDefault="004168DA">
      <w:pPr>
        <w:pStyle w:val="a9"/>
        <w:tabs>
          <w:tab w:val="left" w:pos="0"/>
        </w:tabs>
        <w:spacing w:before="0" w:after="0" w:line="560" w:lineRule="exact"/>
        <w:ind w:firstLineChars="200" w:firstLine="560"/>
        <w:jc w:val="both"/>
        <w:rPr>
          <w:rFonts w:ascii="Times New Roman" w:eastAsia="黑体" w:hAnsi="Times New Roman" w:cs="Times New Roman"/>
          <w:sz w:val="28"/>
          <w:szCs w:val="28"/>
        </w:rPr>
      </w:pPr>
      <w:r>
        <w:rPr>
          <w:rFonts w:ascii="Times New Roman" w:eastAsia="黑体" w:hAnsi="Times New Roman" w:cs="Times New Roman"/>
          <w:sz w:val="28"/>
          <w:szCs w:val="28"/>
        </w:rPr>
        <w:t>考试类型：</w:t>
      </w:r>
      <w:r>
        <w:rPr>
          <w:rFonts w:ascii="Times New Roman" w:hAnsi="Times New Roman" w:cs="Times New Roman"/>
          <w:sz w:val="28"/>
          <w:szCs w:val="28"/>
        </w:rPr>
        <w:t>√</w:t>
      </w:r>
      <w:r>
        <w:rPr>
          <w:rFonts w:ascii="Times New Roman" w:eastAsiaTheme="minorEastAsia" w:hAnsi="Times New Roman" w:cs="Times New Roman"/>
          <w:sz w:val="28"/>
          <w:szCs w:val="28"/>
        </w:rPr>
        <w:t>考试</w:t>
      </w:r>
      <w:r>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考查</w:t>
      </w:r>
    </w:p>
    <w:p w:rsidR="00124E89" w:rsidRDefault="004168DA">
      <w:pPr>
        <w:pStyle w:val="a9"/>
        <w:tabs>
          <w:tab w:val="left" w:pos="0"/>
        </w:tabs>
        <w:spacing w:before="0" w:after="0" w:line="560" w:lineRule="exact"/>
        <w:ind w:firstLineChars="200" w:firstLine="560"/>
        <w:jc w:val="both"/>
        <w:rPr>
          <w:rFonts w:ascii="Times New Roman" w:eastAsiaTheme="minorEastAsia" w:hAnsi="Times New Roman" w:cs="Times New Roman" w:hint="eastAsia"/>
          <w:sz w:val="28"/>
          <w:szCs w:val="28"/>
        </w:rPr>
      </w:pPr>
      <w:r>
        <w:rPr>
          <w:rFonts w:ascii="Times New Roman" w:eastAsia="黑体" w:hAnsi="Times New Roman" w:cs="Times New Roman"/>
          <w:sz w:val="28"/>
          <w:szCs w:val="28"/>
        </w:rPr>
        <w:t>适用对象：</w:t>
      </w:r>
      <w:r>
        <w:rPr>
          <w:rFonts w:ascii="Times New Roman" w:eastAsiaTheme="minorEastAsia" w:hAnsi="Times New Roman" w:cs="Times New Roman"/>
          <w:sz w:val="28"/>
          <w:szCs w:val="28"/>
        </w:rPr>
        <w:t>会计学、会计学（注册会计师专门化）</w:t>
      </w:r>
      <w:r w:rsidR="00640168">
        <w:rPr>
          <w:rFonts w:ascii="Times New Roman" w:eastAsiaTheme="minorEastAsia" w:hAnsi="Times New Roman" w:cs="Times New Roman" w:hint="eastAsia"/>
          <w:sz w:val="28"/>
          <w:szCs w:val="28"/>
        </w:rPr>
        <w:t>、财税学院</w:t>
      </w:r>
    </w:p>
    <w:p w:rsidR="00124E89" w:rsidRDefault="004168DA">
      <w:pPr>
        <w:pStyle w:val="a9"/>
        <w:tabs>
          <w:tab w:val="left" w:pos="0"/>
        </w:tabs>
        <w:spacing w:before="0" w:after="0" w:line="560" w:lineRule="exact"/>
        <w:ind w:firstLineChars="20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是</w:t>
      </w:r>
      <w:r>
        <w:rPr>
          <w:rFonts w:ascii="Times New Roman" w:eastAsiaTheme="minorEastAsia" w:hAnsi="Times New Roman" w:cs="Times New Roman"/>
          <w:sz w:val="28"/>
          <w:szCs w:val="28"/>
        </w:rPr>
        <w:t xml:space="preserve">   </w:t>
      </w:r>
      <w:r>
        <w:rPr>
          <w:rFonts w:ascii="Times New Roman" w:hAnsi="Times New Roman" w:cs="Times New Roman"/>
          <w:sz w:val="28"/>
          <w:szCs w:val="28"/>
        </w:rPr>
        <w:t>√</w:t>
      </w:r>
      <w:r>
        <w:rPr>
          <w:rFonts w:ascii="Times New Roman" w:eastAsiaTheme="minorEastAsia" w:hAnsi="Times New Roman" w:cs="Times New Roman"/>
          <w:sz w:val="28"/>
          <w:szCs w:val="28"/>
        </w:rPr>
        <w:t>否</w:t>
      </w:r>
      <w:r>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同意作为其他专业学生选修的专业拓展课</w:t>
      </w:r>
    </w:p>
    <w:p w:rsidR="00124E89" w:rsidRDefault="004168DA">
      <w:pPr>
        <w:pStyle w:val="a9"/>
        <w:tabs>
          <w:tab w:val="left" w:pos="0"/>
        </w:tabs>
        <w:spacing w:before="0" w:after="0" w:line="560" w:lineRule="exact"/>
        <w:ind w:firstLineChars="20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（类型为</w:t>
      </w:r>
      <w:r>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通识教育必修课</w:t>
      </w:r>
      <w:r>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通识教育选修课</w:t>
      </w:r>
      <w:r>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的课程不需勾选）</w:t>
      </w:r>
    </w:p>
    <w:p w:rsidR="00124E89" w:rsidRDefault="004168DA">
      <w:pPr>
        <w:pStyle w:val="a9"/>
        <w:tabs>
          <w:tab w:val="left" w:pos="0"/>
        </w:tabs>
        <w:spacing w:before="0" w:after="0" w:line="560" w:lineRule="exact"/>
        <w:ind w:firstLineChars="200" w:firstLine="560"/>
        <w:jc w:val="both"/>
        <w:rPr>
          <w:rFonts w:ascii="Times New Roman" w:eastAsia="黑体" w:hAnsi="Times New Roman" w:cs="Times New Roman"/>
          <w:sz w:val="28"/>
          <w:szCs w:val="28"/>
        </w:rPr>
      </w:pPr>
      <w:r>
        <w:rPr>
          <w:rFonts w:ascii="Times New Roman" w:eastAsia="黑体" w:hAnsi="Times New Roman" w:cs="Times New Roman"/>
          <w:sz w:val="28"/>
          <w:szCs w:val="28"/>
        </w:rPr>
        <w:t>先修课程：</w:t>
      </w:r>
      <w:r>
        <w:rPr>
          <w:rFonts w:ascii="Times New Roman" w:eastAsiaTheme="minorEastAsia" w:hAnsi="Times New Roman" w:cs="Times New Roman"/>
          <w:sz w:val="28"/>
          <w:szCs w:val="28"/>
        </w:rPr>
        <w:t>会计学基础、中级财务会计</w:t>
      </w:r>
      <w:bookmarkStart w:id="0" w:name="_GoBack"/>
      <w:bookmarkEnd w:id="0"/>
    </w:p>
    <w:p w:rsidR="00124E89" w:rsidRDefault="004168DA">
      <w:pPr>
        <w:numPr>
          <w:ilvl w:val="0"/>
          <w:numId w:val="1"/>
        </w:numPr>
        <w:spacing w:line="500" w:lineRule="exact"/>
        <w:ind w:firstLine="200"/>
        <w:rPr>
          <w:rFonts w:eastAsia="黑体"/>
          <w:sz w:val="24"/>
        </w:rPr>
      </w:pPr>
      <w:r>
        <w:rPr>
          <w:rFonts w:eastAsia="黑体"/>
          <w:sz w:val="24"/>
        </w:rPr>
        <w:t>教学目标</w:t>
      </w:r>
    </w:p>
    <w:p w:rsidR="00124E89" w:rsidRDefault="004168DA">
      <w:pPr>
        <w:pStyle w:val="a4"/>
        <w:spacing w:line="500" w:lineRule="exact"/>
      </w:pPr>
      <w:r>
        <w:t>《高级财务会计》课程的宗旨在于使学生了解和掌握财务会计中主要特殊业务的基本理论和方法，主要包括外币折算、所得税、非货币性资产交换、套期保值、租赁、债务重组及破产清算、企业合并、合并财务报表、会计信息披露等内容。本门课程是财务会计的组成部分，是中级财务会计的延伸，其主要特点是内容的与时俱进、领域的宽泛发散、会计假设的拓展变化。</w:t>
      </w:r>
    </w:p>
    <w:p w:rsidR="00124E89" w:rsidRDefault="004168DA">
      <w:pPr>
        <w:pStyle w:val="a4"/>
        <w:spacing w:line="500" w:lineRule="exact"/>
      </w:pPr>
      <w:r>
        <w:t>目标</w:t>
      </w:r>
      <w:r>
        <w:t>1</w:t>
      </w:r>
      <w:r>
        <w:t>：使学生掌握中级财务会计以外常见的特殊业务的基本会计理论和方法。</w:t>
      </w:r>
    </w:p>
    <w:p w:rsidR="00124E89" w:rsidRDefault="004168DA">
      <w:pPr>
        <w:pStyle w:val="a4"/>
        <w:spacing w:line="500" w:lineRule="exact"/>
      </w:pPr>
      <w:r>
        <w:t>目标</w:t>
      </w:r>
      <w:r>
        <w:t>2</w:t>
      </w:r>
      <w:r>
        <w:t>：使学生具备理解、解读、操作特殊业务会计的能力。</w:t>
      </w:r>
    </w:p>
    <w:p w:rsidR="00124E89" w:rsidRDefault="004168DA">
      <w:pPr>
        <w:pStyle w:val="a4"/>
        <w:spacing w:line="500" w:lineRule="exact"/>
      </w:pPr>
      <w:r>
        <w:t>目标</w:t>
      </w:r>
      <w:r>
        <w:t>3</w:t>
      </w:r>
      <w:r>
        <w:t>：提高学生爱党爱国、辩证思维、诚信做人的能力，为后</w:t>
      </w:r>
      <w:r>
        <w:t>续的财务分析、审计等课程奠定前期专业基础知识，为其毕业后的工作生活提供更好的思维方式。</w:t>
      </w:r>
    </w:p>
    <w:p w:rsidR="00124E89" w:rsidRDefault="004168DA">
      <w:pPr>
        <w:numPr>
          <w:ilvl w:val="0"/>
          <w:numId w:val="1"/>
        </w:numPr>
        <w:tabs>
          <w:tab w:val="left" w:pos="720"/>
        </w:tabs>
        <w:spacing w:line="500" w:lineRule="exact"/>
        <w:rPr>
          <w:rFonts w:eastAsia="黑体"/>
          <w:b/>
          <w:bCs/>
          <w:sz w:val="24"/>
        </w:rPr>
      </w:pPr>
      <w:r>
        <w:rPr>
          <w:rFonts w:eastAsia="黑体"/>
          <w:bCs/>
          <w:sz w:val="24"/>
          <w:szCs w:val="32"/>
        </w:rPr>
        <w:lastRenderedPageBreak/>
        <w:t>教学内容及其与毕业要求的对应关系</w:t>
      </w:r>
    </w:p>
    <w:p w:rsidR="00124E89" w:rsidRDefault="004168DA">
      <w:pPr>
        <w:pStyle w:val="a4"/>
        <w:spacing w:line="500" w:lineRule="exact"/>
      </w:pPr>
      <w:r>
        <w:t>教学内容：</w:t>
      </w:r>
    </w:p>
    <w:p w:rsidR="00124E89" w:rsidRDefault="004168DA">
      <w:pPr>
        <w:pStyle w:val="a4"/>
        <w:spacing w:line="500" w:lineRule="exact"/>
      </w:pPr>
      <w:r>
        <w:t>本课程主要讲授外币交易会计处理和外币财务报表折算方法，所得税费用的确认、计量及其在报表中的列报，非货币性资产交换与会计处理，套期保值会计处理，租赁的分类、融资租赁与经营租赁等常用租赁业务的会计处理，不同债务重组方式下债务人和债权人的会计处理，企业破产清算会计处理，企业合并会计处理，合并财务报表的编制，企业会计信息披露等内容。其中重点讲授、精讲所得税、租赁、企业合并、合并财务报表等内容。</w:t>
      </w:r>
    </w:p>
    <w:p w:rsidR="00124E89" w:rsidRDefault="004168DA">
      <w:pPr>
        <w:pStyle w:val="a4"/>
        <w:spacing w:line="500" w:lineRule="exact"/>
      </w:pPr>
      <w:r>
        <w:t>教学要求：第一，坚持理论与实际相结合，在讲授会计理论和方法的同时，要注意紧密结合会计理论研究动态与会计实务发展，提升学生的</w:t>
      </w:r>
      <w:r>
        <w:t>会计理论水平和专业视野；第二，注意结合前期会计课程综合讲授会计专业知识，培养学生专业学习的系统性、全面性；第三，针对教学重点、难点内容，讲透理论、引导应用；四是合理安排教学内容，对课程相关背景知识由教师提供指导资料鼓励学生自学。</w:t>
      </w:r>
    </w:p>
    <w:p w:rsidR="00124E89" w:rsidRDefault="004168DA">
      <w:pPr>
        <w:pStyle w:val="a4"/>
        <w:spacing w:line="500" w:lineRule="exact"/>
      </w:pPr>
      <w:r>
        <w:t>教学方法：本课程不仅具有较强的理论性，而且具有显著的实践性，因此在采用理论讲授同时，应尽量多采用案例教学法、启发式教学法。此外，为巩固知识中的难点、重点内容，增强学生的理解力，可以采用专题分析报告、课堂讨论、问题引导等教学方法。</w:t>
      </w:r>
    </w:p>
    <w:p w:rsidR="00124E89" w:rsidRDefault="004168DA">
      <w:pPr>
        <w:pStyle w:val="a4"/>
        <w:spacing w:line="500" w:lineRule="exact"/>
      </w:pPr>
      <w:r>
        <w:t>教学手段：本课程采用多媒体教学、应用智慧教学，一平三</w:t>
      </w:r>
      <w:r>
        <w:t>端，多功能多元素，采用了线上线下结合模式，尽量给学生简洁、直观、生动的画面，以提高学习兴趣；减少课堂笔记，以提高对知识点的深刻理解。</w:t>
      </w:r>
    </w:p>
    <w:p w:rsidR="00124E89" w:rsidRDefault="004168DA">
      <w:pPr>
        <w:pStyle w:val="a4"/>
        <w:spacing w:line="500" w:lineRule="exact"/>
      </w:pPr>
      <w:r>
        <w:t>课后作业与自学：要求学生认真、按时完成课后作业，教师通过作业检查，了解学生对知识的把握情况；除第一次授课以外，每次授课内容要求学生预习，授课时通过提问、讨论等方式检查学生预习情况，以培养学生良好的自学习惯，并提高课堂听课效率和听课效果。</w:t>
      </w:r>
    </w:p>
    <w:p w:rsidR="00124E89" w:rsidRDefault="004168DA">
      <w:pPr>
        <w:spacing w:line="500" w:lineRule="exact"/>
        <w:rPr>
          <w:rFonts w:eastAsia="黑体"/>
          <w:b/>
          <w:bCs/>
          <w:sz w:val="24"/>
        </w:rPr>
      </w:pPr>
      <w:r>
        <w:rPr>
          <w:rFonts w:eastAsia="黑体"/>
          <w:b/>
          <w:bCs/>
          <w:sz w:val="24"/>
        </w:rPr>
        <w:t>三、</w:t>
      </w:r>
      <w:r>
        <w:rPr>
          <w:rFonts w:eastAsia="黑体"/>
          <w:sz w:val="24"/>
        </w:rPr>
        <w:t>各教学环节学时分配</w:t>
      </w:r>
    </w:p>
    <w:p w:rsidR="00124E89" w:rsidRDefault="004168DA">
      <w:pPr>
        <w:spacing w:line="500" w:lineRule="exact"/>
        <w:jc w:val="center"/>
        <w:rPr>
          <w:sz w:val="24"/>
        </w:rPr>
      </w:pPr>
      <w:r>
        <w:rPr>
          <w:b/>
          <w:bCs/>
          <w:sz w:val="24"/>
        </w:rPr>
        <w:lastRenderedPageBreak/>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94"/>
        <w:gridCol w:w="2678"/>
        <w:gridCol w:w="1177"/>
        <w:gridCol w:w="1134"/>
        <w:gridCol w:w="1123"/>
        <w:gridCol w:w="1123"/>
      </w:tblGrid>
      <w:tr w:rsidR="00124E89">
        <w:trPr>
          <w:trHeight w:val="420"/>
        </w:trPr>
        <w:tc>
          <w:tcPr>
            <w:tcW w:w="994" w:type="dxa"/>
            <w:tcBorders>
              <w:top w:val="single" w:sz="4" w:space="0" w:color="auto"/>
              <w:left w:val="single" w:sz="4" w:space="0" w:color="auto"/>
              <w:bottom w:val="single" w:sz="4" w:space="0" w:color="auto"/>
              <w:right w:val="single" w:sz="4" w:space="0" w:color="auto"/>
            </w:tcBorders>
            <w:vAlign w:val="center"/>
          </w:tcPr>
          <w:p w:rsidR="00124E89" w:rsidRDefault="004168DA">
            <w:pPr>
              <w:spacing w:line="360" w:lineRule="auto"/>
              <w:jc w:val="center"/>
              <w:rPr>
                <w:sz w:val="24"/>
              </w:rPr>
            </w:pPr>
            <w:r>
              <w:rPr>
                <w:sz w:val="24"/>
              </w:rPr>
              <w:t>章节</w:t>
            </w:r>
          </w:p>
        </w:tc>
        <w:tc>
          <w:tcPr>
            <w:tcW w:w="2678" w:type="dxa"/>
            <w:tcBorders>
              <w:top w:val="single" w:sz="4" w:space="0" w:color="auto"/>
              <w:left w:val="single" w:sz="4" w:space="0" w:color="auto"/>
              <w:bottom w:val="single" w:sz="4" w:space="0" w:color="auto"/>
              <w:right w:val="single" w:sz="4" w:space="0" w:color="auto"/>
            </w:tcBorders>
            <w:vAlign w:val="center"/>
          </w:tcPr>
          <w:p w:rsidR="00124E89" w:rsidRDefault="004168DA">
            <w:pPr>
              <w:spacing w:line="360" w:lineRule="auto"/>
              <w:jc w:val="center"/>
              <w:rPr>
                <w:sz w:val="24"/>
              </w:rPr>
            </w:pPr>
            <w:r>
              <w:rPr>
                <w:sz w:val="24"/>
              </w:rPr>
              <w:t>内容</w:t>
            </w:r>
          </w:p>
        </w:tc>
        <w:tc>
          <w:tcPr>
            <w:tcW w:w="1177" w:type="dxa"/>
            <w:tcBorders>
              <w:top w:val="single" w:sz="4" w:space="0" w:color="auto"/>
              <w:left w:val="single" w:sz="4" w:space="0" w:color="auto"/>
              <w:bottom w:val="single" w:sz="4" w:space="0" w:color="auto"/>
              <w:right w:val="single" w:sz="4" w:space="0" w:color="auto"/>
            </w:tcBorders>
            <w:vAlign w:val="center"/>
          </w:tcPr>
          <w:p w:rsidR="00124E89" w:rsidRDefault="004168DA">
            <w:pPr>
              <w:spacing w:line="360" w:lineRule="auto"/>
              <w:jc w:val="center"/>
              <w:rPr>
                <w:sz w:val="24"/>
              </w:rPr>
            </w:pPr>
            <w:r>
              <w:rPr>
                <w:sz w:val="24"/>
              </w:rPr>
              <w:t>讲课</w:t>
            </w:r>
          </w:p>
        </w:tc>
        <w:tc>
          <w:tcPr>
            <w:tcW w:w="1134" w:type="dxa"/>
            <w:tcBorders>
              <w:top w:val="single" w:sz="4" w:space="0" w:color="auto"/>
              <w:left w:val="single" w:sz="4" w:space="0" w:color="auto"/>
              <w:bottom w:val="single" w:sz="4" w:space="0" w:color="auto"/>
              <w:right w:val="single" w:sz="4" w:space="0" w:color="auto"/>
            </w:tcBorders>
            <w:vAlign w:val="center"/>
          </w:tcPr>
          <w:p w:rsidR="00124E89" w:rsidRDefault="004168DA">
            <w:pPr>
              <w:spacing w:line="360" w:lineRule="auto"/>
              <w:jc w:val="center"/>
              <w:rPr>
                <w:sz w:val="24"/>
              </w:rPr>
            </w:pPr>
            <w:r>
              <w:rPr>
                <w:sz w:val="24"/>
              </w:rPr>
              <w:t>实验</w:t>
            </w:r>
          </w:p>
        </w:tc>
        <w:tc>
          <w:tcPr>
            <w:tcW w:w="1123" w:type="dxa"/>
            <w:tcBorders>
              <w:top w:val="single" w:sz="4" w:space="0" w:color="auto"/>
              <w:left w:val="single" w:sz="4" w:space="0" w:color="auto"/>
              <w:bottom w:val="single" w:sz="4" w:space="0" w:color="auto"/>
              <w:right w:val="single" w:sz="4" w:space="0" w:color="auto"/>
            </w:tcBorders>
            <w:vAlign w:val="center"/>
          </w:tcPr>
          <w:p w:rsidR="00124E89" w:rsidRDefault="004168DA">
            <w:pPr>
              <w:spacing w:line="360" w:lineRule="auto"/>
              <w:jc w:val="center"/>
              <w:rPr>
                <w:sz w:val="24"/>
              </w:rPr>
            </w:pPr>
            <w:r>
              <w:rPr>
                <w:sz w:val="24"/>
              </w:rPr>
              <w:t>其他</w:t>
            </w:r>
          </w:p>
        </w:tc>
        <w:tc>
          <w:tcPr>
            <w:tcW w:w="1123" w:type="dxa"/>
            <w:tcBorders>
              <w:top w:val="single" w:sz="4" w:space="0" w:color="auto"/>
              <w:left w:val="single" w:sz="4" w:space="0" w:color="auto"/>
              <w:bottom w:val="single" w:sz="4" w:space="0" w:color="auto"/>
              <w:right w:val="single" w:sz="4" w:space="0" w:color="auto"/>
            </w:tcBorders>
            <w:vAlign w:val="center"/>
          </w:tcPr>
          <w:p w:rsidR="00124E89" w:rsidRDefault="004168DA">
            <w:pPr>
              <w:spacing w:line="360" w:lineRule="auto"/>
              <w:jc w:val="center"/>
              <w:rPr>
                <w:sz w:val="24"/>
              </w:rPr>
            </w:pPr>
            <w:r>
              <w:rPr>
                <w:sz w:val="24"/>
              </w:rPr>
              <w:t>合计</w:t>
            </w:r>
          </w:p>
        </w:tc>
      </w:tr>
      <w:tr w:rsidR="00124E89">
        <w:trPr>
          <w:trHeight w:val="420"/>
        </w:trPr>
        <w:tc>
          <w:tcPr>
            <w:tcW w:w="994"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第一章</w:t>
            </w:r>
          </w:p>
        </w:tc>
        <w:tc>
          <w:tcPr>
            <w:tcW w:w="2678"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外币折算</w:t>
            </w:r>
          </w:p>
        </w:tc>
        <w:tc>
          <w:tcPr>
            <w:tcW w:w="1177" w:type="dxa"/>
            <w:tcBorders>
              <w:top w:val="single" w:sz="4" w:space="0" w:color="auto"/>
              <w:left w:val="single" w:sz="4" w:space="0" w:color="auto"/>
              <w:bottom w:val="single" w:sz="4" w:space="0" w:color="auto"/>
              <w:right w:val="single" w:sz="4" w:space="0" w:color="auto"/>
            </w:tcBorders>
          </w:tcPr>
          <w:p w:rsidR="00124E89" w:rsidRDefault="004168DA">
            <w:pPr>
              <w:snapToGrid w:val="0"/>
              <w:jc w:val="center"/>
              <w:rPr>
                <w:bCs/>
                <w:sz w:val="24"/>
              </w:rPr>
            </w:pPr>
            <w:r>
              <w:rPr>
                <w:bCs/>
                <w:sz w:val="24"/>
              </w:rPr>
              <w:t>6</w:t>
            </w:r>
          </w:p>
        </w:tc>
        <w:tc>
          <w:tcPr>
            <w:tcW w:w="1134" w:type="dxa"/>
            <w:tcBorders>
              <w:top w:val="single" w:sz="4" w:space="0" w:color="auto"/>
              <w:left w:val="single" w:sz="4" w:space="0" w:color="auto"/>
              <w:bottom w:val="single" w:sz="4" w:space="0" w:color="auto"/>
              <w:right w:val="single" w:sz="4" w:space="0" w:color="auto"/>
            </w:tcBorders>
          </w:tcPr>
          <w:p w:rsidR="00124E89" w:rsidRDefault="00124E89">
            <w:pPr>
              <w:snapToGrid w:val="0"/>
              <w:jc w:val="center"/>
              <w:rPr>
                <w:bCs/>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napToGrid w:val="0"/>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r>
      <w:tr w:rsidR="00124E89">
        <w:trPr>
          <w:trHeight w:val="420"/>
        </w:trPr>
        <w:tc>
          <w:tcPr>
            <w:tcW w:w="994"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第二章</w:t>
            </w:r>
          </w:p>
        </w:tc>
        <w:tc>
          <w:tcPr>
            <w:tcW w:w="2678"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所得税</w:t>
            </w:r>
          </w:p>
        </w:tc>
        <w:tc>
          <w:tcPr>
            <w:tcW w:w="1177" w:type="dxa"/>
            <w:tcBorders>
              <w:top w:val="single" w:sz="4" w:space="0" w:color="auto"/>
              <w:left w:val="single" w:sz="4" w:space="0" w:color="auto"/>
              <w:bottom w:val="single" w:sz="4" w:space="0" w:color="auto"/>
              <w:right w:val="single" w:sz="4" w:space="0" w:color="auto"/>
            </w:tcBorders>
          </w:tcPr>
          <w:p w:rsidR="00124E89" w:rsidRDefault="004168DA">
            <w:pPr>
              <w:snapToGrid w:val="0"/>
              <w:jc w:val="center"/>
              <w:rPr>
                <w:bCs/>
                <w:sz w:val="24"/>
              </w:rPr>
            </w:pPr>
            <w:r>
              <w:rPr>
                <w:bCs/>
                <w:sz w:val="24"/>
              </w:rPr>
              <w:t>8</w:t>
            </w:r>
          </w:p>
        </w:tc>
        <w:tc>
          <w:tcPr>
            <w:tcW w:w="1134" w:type="dxa"/>
            <w:tcBorders>
              <w:top w:val="single" w:sz="4" w:space="0" w:color="auto"/>
              <w:left w:val="single" w:sz="4" w:space="0" w:color="auto"/>
              <w:bottom w:val="single" w:sz="4" w:space="0" w:color="auto"/>
              <w:right w:val="single" w:sz="4" w:space="0" w:color="auto"/>
            </w:tcBorders>
          </w:tcPr>
          <w:p w:rsidR="00124E89" w:rsidRDefault="00124E89">
            <w:pPr>
              <w:snapToGrid w:val="0"/>
              <w:jc w:val="center"/>
              <w:rPr>
                <w:bCs/>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napToGrid w:val="0"/>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r>
      <w:tr w:rsidR="00124E89">
        <w:trPr>
          <w:trHeight w:val="420"/>
        </w:trPr>
        <w:tc>
          <w:tcPr>
            <w:tcW w:w="994"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第三章</w:t>
            </w:r>
          </w:p>
        </w:tc>
        <w:tc>
          <w:tcPr>
            <w:tcW w:w="2678"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非货币性资产交换</w:t>
            </w:r>
          </w:p>
        </w:tc>
        <w:tc>
          <w:tcPr>
            <w:tcW w:w="1177" w:type="dxa"/>
            <w:tcBorders>
              <w:top w:val="single" w:sz="4" w:space="0" w:color="auto"/>
              <w:left w:val="single" w:sz="4" w:space="0" w:color="auto"/>
              <w:bottom w:val="single" w:sz="4" w:space="0" w:color="auto"/>
              <w:right w:val="single" w:sz="4" w:space="0" w:color="auto"/>
            </w:tcBorders>
          </w:tcPr>
          <w:p w:rsidR="00124E89" w:rsidRDefault="004168DA">
            <w:pPr>
              <w:snapToGrid w:val="0"/>
              <w:jc w:val="center"/>
              <w:rPr>
                <w:bCs/>
                <w:sz w:val="24"/>
              </w:rPr>
            </w:pPr>
            <w:r>
              <w:rPr>
                <w:bCs/>
                <w:sz w:val="24"/>
              </w:rPr>
              <w:t>4</w:t>
            </w:r>
          </w:p>
        </w:tc>
        <w:tc>
          <w:tcPr>
            <w:tcW w:w="1134" w:type="dxa"/>
            <w:tcBorders>
              <w:top w:val="single" w:sz="4" w:space="0" w:color="auto"/>
              <w:left w:val="single" w:sz="4" w:space="0" w:color="auto"/>
              <w:bottom w:val="single" w:sz="4" w:space="0" w:color="auto"/>
              <w:right w:val="single" w:sz="4" w:space="0" w:color="auto"/>
            </w:tcBorders>
          </w:tcPr>
          <w:p w:rsidR="00124E89" w:rsidRDefault="00124E89">
            <w:pPr>
              <w:snapToGrid w:val="0"/>
              <w:jc w:val="center"/>
              <w:rPr>
                <w:bCs/>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r>
      <w:tr w:rsidR="00124E89">
        <w:trPr>
          <w:trHeight w:val="375"/>
        </w:trPr>
        <w:tc>
          <w:tcPr>
            <w:tcW w:w="994"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第四章</w:t>
            </w:r>
          </w:p>
        </w:tc>
        <w:tc>
          <w:tcPr>
            <w:tcW w:w="2678"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 xml:space="preserve"> </w:t>
            </w:r>
            <w:r>
              <w:rPr>
                <w:sz w:val="24"/>
              </w:rPr>
              <w:t>套期保值</w:t>
            </w:r>
          </w:p>
        </w:tc>
        <w:tc>
          <w:tcPr>
            <w:tcW w:w="1177"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6</w:t>
            </w:r>
          </w:p>
        </w:tc>
        <w:tc>
          <w:tcPr>
            <w:tcW w:w="1134"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r>
      <w:tr w:rsidR="00124E89">
        <w:trPr>
          <w:trHeight w:val="540"/>
        </w:trPr>
        <w:tc>
          <w:tcPr>
            <w:tcW w:w="994"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第五章</w:t>
            </w:r>
          </w:p>
        </w:tc>
        <w:tc>
          <w:tcPr>
            <w:tcW w:w="2678"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租赁</w:t>
            </w:r>
          </w:p>
        </w:tc>
        <w:tc>
          <w:tcPr>
            <w:tcW w:w="1177"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8</w:t>
            </w:r>
          </w:p>
        </w:tc>
        <w:tc>
          <w:tcPr>
            <w:tcW w:w="1134"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r>
      <w:tr w:rsidR="00124E89">
        <w:trPr>
          <w:trHeight w:val="540"/>
        </w:trPr>
        <w:tc>
          <w:tcPr>
            <w:tcW w:w="994"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第六章</w:t>
            </w:r>
          </w:p>
        </w:tc>
        <w:tc>
          <w:tcPr>
            <w:tcW w:w="2678"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债务重组与破产清算</w:t>
            </w:r>
          </w:p>
        </w:tc>
        <w:tc>
          <w:tcPr>
            <w:tcW w:w="1177"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6</w:t>
            </w:r>
          </w:p>
        </w:tc>
        <w:tc>
          <w:tcPr>
            <w:tcW w:w="1134"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napToGrid w:val="0"/>
              <w:jc w:val="center"/>
              <w:rPr>
                <w:sz w:val="24"/>
              </w:rPr>
            </w:pPr>
          </w:p>
        </w:tc>
        <w:tc>
          <w:tcPr>
            <w:tcW w:w="1123" w:type="dxa"/>
            <w:tcBorders>
              <w:top w:val="single" w:sz="4" w:space="0" w:color="auto"/>
              <w:left w:val="single" w:sz="4" w:space="0" w:color="auto"/>
              <w:bottom w:val="single" w:sz="4" w:space="0" w:color="auto"/>
              <w:right w:val="single" w:sz="4" w:space="0" w:color="auto"/>
            </w:tcBorders>
            <w:vAlign w:val="center"/>
          </w:tcPr>
          <w:p w:rsidR="00124E89" w:rsidRDefault="00124E89">
            <w:pPr>
              <w:spacing w:line="360" w:lineRule="auto"/>
              <w:jc w:val="center"/>
              <w:rPr>
                <w:sz w:val="24"/>
              </w:rPr>
            </w:pPr>
          </w:p>
        </w:tc>
      </w:tr>
      <w:tr w:rsidR="00124E89">
        <w:trPr>
          <w:cantSplit/>
          <w:trHeight w:val="482"/>
        </w:trPr>
        <w:tc>
          <w:tcPr>
            <w:tcW w:w="994" w:type="dxa"/>
            <w:tcBorders>
              <w:top w:val="single" w:sz="4" w:space="0" w:color="auto"/>
              <w:left w:val="single" w:sz="4" w:space="0" w:color="auto"/>
              <w:bottom w:val="single" w:sz="4" w:space="0" w:color="auto"/>
              <w:right w:val="single" w:sz="4" w:space="0" w:color="auto"/>
            </w:tcBorders>
          </w:tcPr>
          <w:p w:rsidR="00124E89" w:rsidRDefault="004168DA">
            <w:pPr>
              <w:snapToGrid w:val="0"/>
              <w:jc w:val="center"/>
              <w:rPr>
                <w:bCs/>
                <w:sz w:val="24"/>
              </w:rPr>
            </w:pPr>
            <w:r>
              <w:rPr>
                <w:bCs/>
                <w:sz w:val="24"/>
              </w:rPr>
              <w:t xml:space="preserve">第七章　　　　　　　　　</w:t>
            </w:r>
          </w:p>
        </w:tc>
        <w:tc>
          <w:tcPr>
            <w:tcW w:w="2678" w:type="dxa"/>
            <w:tcBorders>
              <w:top w:val="single" w:sz="4" w:space="0" w:color="auto"/>
              <w:left w:val="single" w:sz="4" w:space="0" w:color="auto"/>
              <w:bottom w:val="single" w:sz="4" w:space="0" w:color="auto"/>
              <w:right w:val="single" w:sz="4" w:space="0" w:color="auto"/>
            </w:tcBorders>
          </w:tcPr>
          <w:p w:rsidR="00124E89" w:rsidRDefault="004168DA">
            <w:pPr>
              <w:snapToGrid w:val="0"/>
              <w:jc w:val="center"/>
              <w:rPr>
                <w:bCs/>
                <w:sz w:val="24"/>
              </w:rPr>
            </w:pPr>
            <w:r>
              <w:rPr>
                <w:bCs/>
                <w:sz w:val="24"/>
              </w:rPr>
              <w:t>企业合并</w:t>
            </w:r>
          </w:p>
        </w:tc>
        <w:tc>
          <w:tcPr>
            <w:tcW w:w="1177" w:type="dxa"/>
            <w:tcBorders>
              <w:top w:val="single" w:sz="4" w:space="0" w:color="auto"/>
              <w:left w:val="single" w:sz="4" w:space="0" w:color="auto"/>
              <w:bottom w:val="single" w:sz="4" w:space="0" w:color="auto"/>
              <w:right w:val="single" w:sz="4" w:space="0" w:color="auto"/>
            </w:tcBorders>
          </w:tcPr>
          <w:p w:rsidR="00124E89" w:rsidRDefault="004168DA">
            <w:pPr>
              <w:snapToGrid w:val="0"/>
              <w:jc w:val="center"/>
              <w:rPr>
                <w:bCs/>
                <w:sz w:val="24"/>
              </w:rPr>
            </w:pPr>
            <w:r>
              <w:rPr>
                <w:bCs/>
                <w:sz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napToGrid w:val="0"/>
              <w:jc w:val="center"/>
              <w:rPr>
                <w:sz w:val="24"/>
              </w:rPr>
            </w:pPr>
          </w:p>
        </w:tc>
        <w:tc>
          <w:tcPr>
            <w:tcW w:w="1123" w:type="dxa"/>
            <w:tcBorders>
              <w:top w:val="single" w:sz="4" w:space="0" w:color="auto"/>
              <w:left w:val="single" w:sz="4" w:space="0" w:color="auto"/>
              <w:bottom w:val="single" w:sz="4" w:space="0" w:color="auto"/>
              <w:right w:val="single" w:sz="4" w:space="0" w:color="auto"/>
            </w:tcBorders>
            <w:vAlign w:val="center"/>
          </w:tcPr>
          <w:p w:rsidR="00124E89" w:rsidRDefault="00124E89">
            <w:pPr>
              <w:spacing w:line="360" w:lineRule="auto"/>
              <w:jc w:val="center"/>
              <w:rPr>
                <w:sz w:val="24"/>
              </w:rPr>
            </w:pPr>
          </w:p>
        </w:tc>
      </w:tr>
      <w:tr w:rsidR="00124E89">
        <w:trPr>
          <w:cantSplit/>
          <w:trHeight w:val="180"/>
        </w:trPr>
        <w:tc>
          <w:tcPr>
            <w:tcW w:w="994" w:type="dxa"/>
            <w:tcBorders>
              <w:top w:val="single" w:sz="4" w:space="0" w:color="auto"/>
              <w:left w:val="single" w:sz="4" w:space="0" w:color="auto"/>
              <w:bottom w:val="single" w:sz="4" w:space="0" w:color="auto"/>
              <w:right w:val="single" w:sz="4" w:space="0" w:color="auto"/>
            </w:tcBorders>
          </w:tcPr>
          <w:p w:rsidR="00124E89" w:rsidRDefault="004168DA">
            <w:pPr>
              <w:snapToGrid w:val="0"/>
              <w:jc w:val="center"/>
              <w:rPr>
                <w:bCs/>
                <w:sz w:val="24"/>
              </w:rPr>
            </w:pPr>
            <w:r>
              <w:rPr>
                <w:bCs/>
                <w:sz w:val="24"/>
              </w:rPr>
              <w:t>第八章</w:t>
            </w:r>
          </w:p>
        </w:tc>
        <w:tc>
          <w:tcPr>
            <w:tcW w:w="2678" w:type="dxa"/>
            <w:tcBorders>
              <w:top w:val="single" w:sz="4" w:space="0" w:color="auto"/>
              <w:left w:val="single" w:sz="4" w:space="0" w:color="auto"/>
              <w:bottom w:val="single" w:sz="4" w:space="0" w:color="auto"/>
              <w:right w:val="single" w:sz="4" w:space="0" w:color="auto"/>
            </w:tcBorders>
          </w:tcPr>
          <w:p w:rsidR="00124E89" w:rsidRDefault="004168DA">
            <w:pPr>
              <w:snapToGrid w:val="0"/>
              <w:jc w:val="center"/>
              <w:rPr>
                <w:bCs/>
                <w:sz w:val="24"/>
              </w:rPr>
            </w:pPr>
            <w:r>
              <w:rPr>
                <w:bCs/>
                <w:sz w:val="24"/>
              </w:rPr>
              <w:t>合并财务报表</w:t>
            </w:r>
          </w:p>
        </w:tc>
        <w:tc>
          <w:tcPr>
            <w:tcW w:w="1177" w:type="dxa"/>
            <w:tcBorders>
              <w:top w:val="single" w:sz="4" w:space="0" w:color="auto"/>
              <w:left w:val="single" w:sz="4" w:space="0" w:color="auto"/>
              <w:bottom w:val="single" w:sz="4" w:space="0" w:color="auto"/>
              <w:right w:val="single" w:sz="4" w:space="0" w:color="auto"/>
            </w:tcBorders>
          </w:tcPr>
          <w:p w:rsidR="00124E89" w:rsidRDefault="004168DA">
            <w:pPr>
              <w:snapToGrid w:val="0"/>
              <w:jc w:val="center"/>
              <w:rPr>
                <w:bCs/>
                <w:sz w:val="24"/>
              </w:rPr>
            </w:pPr>
            <w:r>
              <w:rPr>
                <w:bCs/>
                <w:sz w:val="24"/>
              </w:rPr>
              <w:t>14</w:t>
            </w:r>
          </w:p>
        </w:tc>
        <w:tc>
          <w:tcPr>
            <w:tcW w:w="1134" w:type="dxa"/>
            <w:tcBorders>
              <w:top w:val="single" w:sz="4" w:space="0" w:color="auto"/>
              <w:left w:val="single" w:sz="4" w:space="0" w:color="auto"/>
              <w:bottom w:val="single" w:sz="4" w:space="0" w:color="auto"/>
              <w:right w:val="single" w:sz="4" w:space="0" w:color="auto"/>
            </w:tcBorders>
            <w:vAlign w:val="center"/>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napToGrid w:val="0"/>
              <w:jc w:val="center"/>
              <w:rPr>
                <w:sz w:val="24"/>
              </w:rPr>
            </w:pPr>
          </w:p>
        </w:tc>
        <w:tc>
          <w:tcPr>
            <w:tcW w:w="1123" w:type="dxa"/>
            <w:tcBorders>
              <w:top w:val="single" w:sz="4" w:space="0" w:color="auto"/>
              <w:left w:val="single" w:sz="4" w:space="0" w:color="auto"/>
              <w:bottom w:val="single" w:sz="4" w:space="0" w:color="auto"/>
              <w:right w:val="single" w:sz="4" w:space="0" w:color="auto"/>
            </w:tcBorders>
            <w:vAlign w:val="center"/>
          </w:tcPr>
          <w:p w:rsidR="00124E89" w:rsidRDefault="00124E89">
            <w:pPr>
              <w:spacing w:line="360" w:lineRule="auto"/>
              <w:jc w:val="center"/>
              <w:rPr>
                <w:sz w:val="24"/>
              </w:rPr>
            </w:pPr>
          </w:p>
        </w:tc>
      </w:tr>
      <w:tr w:rsidR="00124E89">
        <w:trPr>
          <w:trHeight w:val="390"/>
        </w:trPr>
        <w:tc>
          <w:tcPr>
            <w:tcW w:w="994" w:type="dxa"/>
            <w:tcBorders>
              <w:top w:val="single" w:sz="4" w:space="0" w:color="auto"/>
              <w:left w:val="single" w:sz="4" w:space="0" w:color="auto"/>
              <w:bottom w:val="single" w:sz="4" w:space="0" w:color="auto"/>
              <w:right w:val="single" w:sz="4" w:space="0" w:color="auto"/>
            </w:tcBorders>
          </w:tcPr>
          <w:p w:rsidR="00124E89" w:rsidRDefault="004168DA">
            <w:pPr>
              <w:snapToGrid w:val="0"/>
              <w:jc w:val="center"/>
              <w:rPr>
                <w:bCs/>
                <w:sz w:val="24"/>
              </w:rPr>
            </w:pPr>
            <w:r>
              <w:rPr>
                <w:bCs/>
                <w:sz w:val="24"/>
              </w:rPr>
              <w:t xml:space="preserve">第九章　</w:t>
            </w:r>
          </w:p>
        </w:tc>
        <w:tc>
          <w:tcPr>
            <w:tcW w:w="2678" w:type="dxa"/>
            <w:tcBorders>
              <w:top w:val="single" w:sz="4" w:space="0" w:color="auto"/>
              <w:left w:val="single" w:sz="4" w:space="0" w:color="auto"/>
              <w:bottom w:val="single" w:sz="4" w:space="0" w:color="auto"/>
              <w:right w:val="single" w:sz="4" w:space="0" w:color="auto"/>
            </w:tcBorders>
          </w:tcPr>
          <w:p w:rsidR="00124E89" w:rsidRDefault="004168DA">
            <w:pPr>
              <w:snapToGrid w:val="0"/>
              <w:jc w:val="center"/>
              <w:rPr>
                <w:bCs/>
                <w:sz w:val="24"/>
              </w:rPr>
            </w:pPr>
            <w:r>
              <w:rPr>
                <w:bCs/>
                <w:sz w:val="24"/>
              </w:rPr>
              <w:t>会计信息披露</w:t>
            </w:r>
          </w:p>
        </w:tc>
        <w:tc>
          <w:tcPr>
            <w:tcW w:w="1177" w:type="dxa"/>
            <w:tcBorders>
              <w:top w:val="single" w:sz="4" w:space="0" w:color="auto"/>
              <w:left w:val="single" w:sz="4" w:space="0" w:color="auto"/>
              <w:bottom w:val="single" w:sz="4" w:space="0" w:color="auto"/>
              <w:right w:val="single" w:sz="4" w:space="0" w:color="auto"/>
            </w:tcBorders>
          </w:tcPr>
          <w:p w:rsidR="00124E89" w:rsidRDefault="004168DA">
            <w:pPr>
              <w:snapToGrid w:val="0"/>
              <w:jc w:val="center"/>
              <w:rPr>
                <w:bCs/>
                <w:sz w:val="24"/>
              </w:rPr>
            </w:pPr>
            <w:r>
              <w:rPr>
                <w:bCs/>
                <w:sz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r>
      <w:tr w:rsidR="00124E89">
        <w:trPr>
          <w:trHeight w:val="225"/>
        </w:trPr>
        <w:tc>
          <w:tcPr>
            <w:tcW w:w="994"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2678" w:type="dxa"/>
            <w:tcBorders>
              <w:top w:val="single" w:sz="4" w:space="0" w:color="auto"/>
              <w:left w:val="single" w:sz="4" w:space="0" w:color="auto"/>
              <w:bottom w:val="single" w:sz="4" w:space="0" w:color="auto"/>
              <w:right w:val="single" w:sz="4" w:space="0" w:color="auto"/>
            </w:tcBorders>
          </w:tcPr>
          <w:p w:rsidR="00124E89" w:rsidRDefault="00124E89">
            <w:pPr>
              <w:jc w:val="center"/>
              <w:rPr>
                <w:sz w:val="24"/>
              </w:rPr>
            </w:pPr>
          </w:p>
        </w:tc>
        <w:tc>
          <w:tcPr>
            <w:tcW w:w="1177"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1134"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r>
      <w:tr w:rsidR="00124E89">
        <w:trPr>
          <w:trHeight w:val="450"/>
        </w:trPr>
        <w:tc>
          <w:tcPr>
            <w:tcW w:w="994"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合计</w:t>
            </w:r>
          </w:p>
        </w:tc>
        <w:tc>
          <w:tcPr>
            <w:tcW w:w="2678"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1177"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64</w:t>
            </w:r>
          </w:p>
        </w:tc>
        <w:tc>
          <w:tcPr>
            <w:tcW w:w="1134"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124E89">
            <w:pPr>
              <w:spacing w:line="360" w:lineRule="auto"/>
              <w:jc w:val="center"/>
              <w:rPr>
                <w:sz w:val="24"/>
              </w:rPr>
            </w:pPr>
          </w:p>
        </w:tc>
        <w:tc>
          <w:tcPr>
            <w:tcW w:w="1123" w:type="dxa"/>
            <w:tcBorders>
              <w:top w:val="single" w:sz="4" w:space="0" w:color="auto"/>
              <w:left w:val="single" w:sz="4" w:space="0" w:color="auto"/>
              <w:bottom w:val="single" w:sz="4" w:space="0" w:color="auto"/>
              <w:right w:val="single" w:sz="4" w:space="0" w:color="auto"/>
            </w:tcBorders>
          </w:tcPr>
          <w:p w:rsidR="00124E89" w:rsidRDefault="004168DA">
            <w:pPr>
              <w:spacing w:line="360" w:lineRule="auto"/>
              <w:jc w:val="center"/>
              <w:rPr>
                <w:sz w:val="24"/>
              </w:rPr>
            </w:pPr>
            <w:r>
              <w:rPr>
                <w:sz w:val="24"/>
              </w:rPr>
              <w:t>64</w:t>
            </w:r>
          </w:p>
        </w:tc>
      </w:tr>
    </w:tbl>
    <w:p w:rsidR="00124E89" w:rsidRDefault="00124E89">
      <w:pPr>
        <w:pStyle w:val="a4"/>
        <w:spacing w:line="460" w:lineRule="exact"/>
      </w:pPr>
    </w:p>
    <w:p w:rsidR="00124E89" w:rsidRDefault="004168DA">
      <w:pPr>
        <w:pStyle w:val="a4"/>
        <w:rPr>
          <w:rFonts w:eastAsia="黑体"/>
          <w:b/>
          <w:bCs/>
        </w:rPr>
      </w:pPr>
      <w:r>
        <w:br w:type="page"/>
      </w:r>
      <w:r>
        <w:rPr>
          <w:rFonts w:eastAsia="黑体"/>
          <w:b/>
          <w:bCs/>
        </w:rPr>
        <w:lastRenderedPageBreak/>
        <w:t>四、教学内容</w:t>
      </w:r>
    </w:p>
    <w:p w:rsidR="00124E89" w:rsidRDefault="004168DA">
      <w:pPr>
        <w:pStyle w:val="a4"/>
        <w:spacing w:line="500" w:lineRule="exact"/>
        <w:ind w:firstLine="482"/>
        <w:jc w:val="center"/>
        <w:rPr>
          <w:b/>
          <w:bCs/>
        </w:rPr>
      </w:pPr>
      <w:r>
        <w:rPr>
          <w:b/>
          <w:bCs/>
        </w:rPr>
        <w:t>第一章</w:t>
      </w:r>
      <w:r>
        <w:rPr>
          <w:b/>
          <w:bCs/>
        </w:rPr>
        <w:t xml:space="preserve"> </w:t>
      </w:r>
      <w:r>
        <w:rPr>
          <w:b/>
          <w:bCs/>
        </w:rPr>
        <w:t>外币折算</w:t>
      </w:r>
    </w:p>
    <w:p w:rsidR="00124E89" w:rsidRDefault="004168DA">
      <w:pPr>
        <w:pStyle w:val="a4"/>
        <w:spacing w:line="500" w:lineRule="exact"/>
      </w:pPr>
      <w:r>
        <w:t>第一节</w:t>
      </w:r>
      <w:r>
        <w:t xml:space="preserve">  </w:t>
      </w:r>
      <w:r>
        <w:t>外币与外币业务概述</w:t>
      </w:r>
    </w:p>
    <w:p w:rsidR="00124E89" w:rsidRDefault="004168DA">
      <w:pPr>
        <w:pStyle w:val="a4"/>
        <w:spacing w:line="500" w:lineRule="exact"/>
      </w:pPr>
      <w:r>
        <w:t>1</w:t>
      </w:r>
      <w:r>
        <w:t>、外汇</w:t>
      </w:r>
    </w:p>
    <w:p w:rsidR="00124E89" w:rsidRDefault="004168DA">
      <w:pPr>
        <w:pStyle w:val="a4"/>
        <w:spacing w:line="500" w:lineRule="exact"/>
      </w:pPr>
      <w:r>
        <w:t>2</w:t>
      </w:r>
      <w:r>
        <w:t>、汇率</w:t>
      </w:r>
    </w:p>
    <w:p w:rsidR="00124E89" w:rsidRDefault="004168DA">
      <w:pPr>
        <w:pStyle w:val="a4"/>
        <w:spacing w:line="500" w:lineRule="exact"/>
      </w:pPr>
      <w:r>
        <w:t>3</w:t>
      </w:r>
      <w:r>
        <w:t>、记账本位币</w:t>
      </w:r>
    </w:p>
    <w:p w:rsidR="00124E89" w:rsidRDefault="004168DA">
      <w:pPr>
        <w:pStyle w:val="a4"/>
        <w:spacing w:line="500" w:lineRule="exact"/>
      </w:pPr>
      <w:r>
        <w:t>4</w:t>
      </w:r>
      <w:r>
        <w:t>、汇兑损益</w:t>
      </w:r>
    </w:p>
    <w:p w:rsidR="00124E89" w:rsidRDefault="004168DA">
      <w:pPr>
        <w:pStyle w:val="a4"/>
        <w:spacing w:line="500" w:lineRule="exact"/>
      </w:pPr>
      <w:r>
        <w:t>5</w:t>
      </w:r>
      <w:r>
        <w:t>、外币记账方法</w:t>
      </w:r>
    </w:p>
    <w:p w:rsidR="00124E89" w:rsidRDefault="004168DA">
      <w:pPr>
        <w:pStyle w:val="a4"/>
        <w:spacing w:line="500" w:lineRule="exact"/>
      </w:pPr>
      <w:r>
        <w:t>第二节</w:t>
      </w:r>
      <w:r>
        <w:t xml:space="preserve"> </w:t>
      </w:r>
      <w:r>
        <w:t>外币交易的会计处理</w:t>
      </w:r>
    </w:p>
    <w:p w:rsidR="00124E89" w:rsidRDefault="004168DA">
      <w:pPr>
        <w:pStyle w:val="a4"/>
        <w:spacing w:line="500" w:lineRule="exact"/>
      </w:pPr>
      <w:r>
        <w:t>1</w:t>
      </w:r>
      <w:r>
        <w:t>、外币交易会计核算的两种观点</w:t>
      </w:r>
    </w:p>
    <w:p w:rsidR="00124E89" w:rsidRDefault="004168DA">
      <w:pPr>
        <w:pStyle w:val="a4"/>
        <w:spacing w:line="500" w:lineRule="exact"/>
      </w:pPr>
      <w:r>
        <w:t>2</w:t>
      </w:r>
      <w:r>
        <w:t>、外币交易的会计处理</w:t>
      </w:r>
    </w:p>
    <w:p w:rsidR="00124E89" w:rsidRDefault="004168DA">
      <w:pPr>
        <w:pStyle w:val="a4"/>
        <w:spacing w:line="500" w:lineRule="exact"/>
      </w:pPr>
      <w:r>
        <w:t>第三节</w:t>
      </w:r>
      <w:r>
        <w:t xml:space="preserve">  </w:t>
      </w:r>
      <w:r>
        <w:t>外币会计报表折算</w:t>
      </w:r>
    </w:p>
    <w:p w:rsidR="00124E89" w:rsidRDefault="004168DA">
      <w:pPr>
        <w:pStyle w:val="a4"/>
        <w:spacing w:line="500" w:lineRule="exact"/>
      </w:pPr>
      <w:r>
        <w:t>1</w:t>
      </w:r>
      <w:r>
        <w:t>、现行汇率法</w:t>
      </w:r>
    </w:p>
    <w:p w:rsidR="00124E89" w:rsidRDefault="004168DA">
      <w:pPr>
        <w:pStyle w:val="a4"/>
        <w:spacing w:line="500" w:lineRule="exact"/>
      </w:pPr>
      <w:r>
        <w:t>2</w:t>
      </w:r>
      <w:r>
        <w:t>、流动性与非流动性项目法</w:t>
      </w:r>
    </w:p>
    <w:p w:rsidR="00124E89" w:rsidRDefault="004168DA">
      <w:pPr>
        <w:pStyle w:val="a4"/>
        <w:spacing w:line="500" w:lineRule="exact"/>
      </w:pPr>
      <w:r>
        <w:t>3</w:t>
      </w:r>
      <w:r>
        <w:t>、货币性与非货币项目法</w:t>
      </w:r>
    </w:p>
    <w:p w:rsidR="00124E89" w:rsidRDefault="004168DA">
      <w:pPr>
        <w:pStyle w:val="a4"/>
        <w:spacing w:line="500" w:lineRule="exact"/>
      </w:pPr>
      <w:r>
        <w:t>4</w:t>
      </w:r>
      <w:r>
        <w:t>、时态法</w:t>
      </w:r>
    </w:p>
    <w:p w:rsidR="00124E89" w:rsidRDefault="004168DA">
      <w:pPr>
        <w:pStyle w:val="a4"/>
        <w:spacing w:line="500" w:lineRule="exact"/>
      </w:pPr>
      <w:r>
        <w:t>5</w:t>
      </w:r>
      <w:r>
        <w:t>、我国外币报表折算方法</w:t>
      </w:r>
    </w:p>
    <w:p w:rsidR="00124E89" w:rsidRDefault="004168DA">
      <w:pPr>
        <w:pStyle w:val="a4"/>
        <w:spacing w:line="500" w:lineRule="exact"/>
      </w:pPr>
      <w:r>
        <w:t>教学重点、难点：</w:t>
      </w:r>
    </w:p>
    <w:p w:rsidR="00124E89" w:rsidRDefault="004168DA">
      <w:pPr>
        <w:pStyle w:val="a4"/>
        <w:spacing w:line="500" w:lineRule="exact"/>
      </w:pPr>
      <w:r>
        <w:t>汇率波动对外币交易中资产和负责项目的汇兑损益影响；外币货币项目期末或结算日汇兑差额的计算及其会计处理；外币非货币项目期末汇率变动的会计处理；不同外币财务报表折算方法的理论依据及其特点与发展；我国外币财务报表折算的具体编报方法。</w:t>
      </w:r>
    </w:p>
    <w:p w:rsidR="00124E89" w:rsidRDefault="004168DA">
      <w:pPr>
        <w:pStyle w:val="a4"/>
        <w:spacing w:line="500" w:lineRule="exact"/>
      </w:pPr>
      <w:r>
        <w:t>课程的考核要求：</w:t>
      </w:r>
    </w:p>
    <w:p w:rsidR="00124E89" w:rsidRDefault="004168DA">
      <w:pPr>
        <w:pStyle w:val="a4"/>
        <w:spacing w:line="500" w:lineRule="exact"/>
      </w:pPr>
      <w:r>
        <w:t>了解：外汇、汇率和外币记账方法等基本概念</w:t>
      </w:r>
    </w:p>
    <w:p w:rsidR="00124E89" w:rsidRDefault="004168DA">
      <w:pPr>
        <w:pStyle w:val="a4"/>
        <w:spacing w:line="500" w:lineRule="exact"/>
      </w:pPr>
      <w:r>
        <w:t>理解：记账本位币，汇兑损益，外币报表折算差额，即期汇率。</w:t>
      </w:r>
    </w:p>
    <w:p w:rsidR="00124E89" w:rsidRDefault="004168DA">
      <w:pPr>
        <w:pStyle w:val="a4"/>
        <w:spacing w:line="500" w:lineRule="exact"/>
      </w:pPr>
      <w:r>
        <w:lastRenderedPageBreak/>
        <w:t>掌握：外币业务汇兑损益的构成及其处理的不同观点、外币货币性项目和外币非货币性项目的区分、我国外币财务报表折算的具体编报方法、恶性通货膨胀经济对外币财务报表折算的影响。</w:t>
      </w:r>
    </w:p>
    <w:p w:rsidR="00124E89" w:rsidRDefault="004168DA">
      <w:pPr>
        <w:pStyle w:val="a4"/>
        <w:spacing w:line="500" w:lineRule="exact"/>
      </w:pPr>
      <w:r>
        <w:t>应用：利用外币折算的理论与方法，通过我国外币交易日常会计处理、期末或结算日不同项目汇兑差额的计算及其会计处理，为各种外币折算及外币管理提供相关建议。</w:t>
      </w:r>
    </w:p>
    <w:p w:rsidR="00124E89" w:rsidRDefault="004168DA">
      <w:pPr>
        <w:pStyle w:val="a4"/>
        <w:spacing w:line="500" w:lineRule="exact"/>
      </w:pPr>
      <w:r>
        <w:t>思政：外币含义、外币报表折算中加入思政内容</w:t>
      </w:r>
    </w:p>
    <w:p w:rsidR="00124E89" w:rsidRDefault="004168DA">
      <w:pPr>
        <w:pStyle w:val="a4"/>
        <w:spacing w:line="500" w:lineRule="exact"/>
      </w:pPr>
      <w:r>
        <w:t>复习思考题：</w:t>
      </w:r>
    </w:p>
    <w:p w:rsidR="00124E89" w:rsidRDefault="004168DA">
      <w:pPr>
        <w:pStyle w:val="a4"/>
        <w:spacing w:line="500" w:lineRule="exact"/>
      </w:pPr>
      <w:r>
        <w:t>1</w:t>
      </w:r>
      <w:r>
        <w:t>、外币交易损益与报表折算损益有何区别？</w:t>
      </w:r>
    </w:p>
    <w:p w:rsidR="00124E89" w:rsidRDefault="004168DA">
      <w:pPr>
        <w:pStyle w:val="a4"/>
        <w:spacing w:line="500" w:lineRule="exact"/>
      </w:pPr>
      <w:r>
        <w:t>2</w:t>
      </w:r>
      <w:r>
        <w:t>、不同的外币记账方法在日常及期末会计处理上有何区别？</w:t>
      </w:r>
    </w:p>
    <w:p w:rsidR="00124E89" w:rsidRDefault="004168DA">
      <w:pPr>
        <w:pStyle w:val="a4"/>
        <w:spacing w:line="500" w:lineRule="exact"/>
      </w:pPr>
      <w:r>
        <w:t>3</w:t>
      </w:r>
      <w:r>
        <w:t>、外币交易会计处理的一笔交易观点和两</w:t>
      </w:r>
      <w:r>
        <w:t>笔交易观点的区别及对收益的影响。</w:t>
      </w:r>
    </w:p>
    <w:p w:rsidR="00124E89" w:rsidRDefault="004168DA">
      <w:pPr>
        <w:pStyle w:val="a4"/>
        <w:spacing w:line="500" w:lineRule="exact"/>
      </w:pPr>
      <w:r>
        <w:t>4</w:t>
      </w:r>
      <w:r>
        <w:t>、外币报表折算方法之间的差异及对报表的影响。</w:t>
      </w:r>
    </w:p>
    <w:p w:rsidR="00124E89" w:rsidRDefault="004168DA">
      <w:pPr>
        <w:pStyle w:val="a4"/>
        <w:spacing w:line="500" w:lineRule="exact"/>
      </w:pPr>
      <w:r>
        <w:t>5</w:t>
      </w:r>
      <w:r>
        <w:t>、我国现行外币报表折算的一般要求。</w:t>
      </w:r>
    </w:p>
    <w:p w:rsidR="00124E89" w:rsidRDefault="004168DA">
      <w:pPr>
        <w:pStyle w:val="a4"/>
        <w:spacing w:line="500" w:lineRule="exact"/>
      </w:pPr>
      <w:r>
        <w:t>6</w:t>
      </w:r>
      <w:r>
        <w:t>、外币报表折算差额有哪些处理方法和区别。</w:t>
      </w:r>
    </w:p>
    <w:p w:rsidR="00124E89" w:rsidRDefault="004168DA">
      <w:pPr>
        <w:pStyle w:val="a4"/>
        <w:spacing w:line="500" w:lineRule="exact"/>
        <w:ind w:firstLine="482"/>
        <w:jc w:val="center"/>
        <w:rPr>
          <w:b/>
          <w:bCs/>
        </w:rPr>
      </w:pPr>
      <w:r>
        <w:rPr>
          <w:b/>
          <w:bCs/>
        </w:rPr>
        <w:t>第二章</w:t>
      </w:r>
      <w:r>
        <w:rPr>
          <w:b/>
          <w:bCs/>
        </w:rPr>
        <w:t xml:space="preserve"> </w:t>
      </w:r>
      <w:r>
        <w:rPr>
          <w:b/>
          <w:bCs/>
        </w:rPr>
        <w:t>所得税</w:t>
      </w:r>
    </w:p>
    <w:p w:rsidR="00124E89" w:rsidRDefault="004168DA">
      <w:pPr>
        <w:pStyle w:val="a4"/>
        <w:spacing w:line="500" w:lineRule="exact"/>
      </w:pPr>
      <w:r>
        <w:t>第一节</w:t>
      </w:r>
      <w:r>
        <w:t xml:space="preserve"> </w:t>
      </w:r>
      <w:r>
        <w:t>所得税会计概述</w:t>
      </w:r>
    </w:p>
    <w:p w:rsidR="00124E89" w:rsidRDefault="004168DA">
      <w:pPr>
        <w:pStyle w:val="a4"/>
        <w:spacing w:line="500" w:lineRule="exact"/>
      </w:pPr>
      <w:r>
        <w:t>1</w:t>
      </w:r>
      <w:r>
        <w:t>、所得税的性质</w:t>
      </w:r>
    </w:p>
    <w:p w:rsidR="00124E89" w:rsidRDefault="004168DA">
      <w:pPr>
        <w:pStyle w:val="a4"/>
        <w:spacing w:line="500" w:lineRule="exact"/>
      </w:pPr>
      <w:r>
        <w:t>2</w:t>
      </w:r>
      <w:r>
        <w:t>、所得税会计的产生</w:t>
      </w:r>
    </w:p>
    <w:p w:rsidR="00124E89" w:rsidRDefault="004168DA">
      <w:pPr>
        <w:pStyle w:val="a4"/>
        <w:spacing w:line="500" w:lineRule="exact"/>
      </w:pPr>
      <w:r>
        <w:t>3</w:t>
      </w:r>
      <w:r>
        <w:t>、所得税会计核算方法的沿革</w:t>
      </w:r>
    </w:p>
    <w:p w:rsidR="00124E89" w:rsidRDefault="004168DA">
      <w:pPr>
        <w:pStyle w:val="a4"/>
        <w:spacing w:line="500" w:lineRule="exact"/>
      </w:pPr>
      <w:r>
        <w:t>4</w:t>
      </w:r>
      <w:r>
        <w:t>、所得税会计的核算程序</w:t>
      </w:r>
    </w:p>
    <w:p w:rsidR="00124E89" w:rsidRDefault="004168DA">
      <w:pPr>
        <w:pStyle w:val="a4"/>
        <w:spacing w:line="500" w:lineRule="exact"/>
      </w:pPr>
      <w:r>
        <w:t>第二节</w:t>
      </w:r>
      <w:r>
        <w:t xml:space="preserve"> </w:t>
      </w:r>
      <w:r>
        <w:t>当期所得税</w:t>
      </w:r>
    </w:p>
    <w:p w:rsidR="00124E89" w:rsidRDefault="004168DA">
      <w:pPr>
        <w:pStyle w:val="a4"/>
        <w:spacing w:line="500" w:lineRule="exact"/>
      </w:pPr>
      <w:r>
        <w:t>1</w:t>
      </w:r>
      <w:r>
        <w:t>、应纳税所得额</w:t>
      </w:r>
    </w:p>
    <w:p w:rsidR="00124E89" w:rsidRDefault="004168DA">
      <w:pPr>
        <w:pStyle w:val="a4"/>
        <w:spacing w:line="500" w:lineRule="exact"/>
      </w:pPr>
      <w:r>
        <w:t>2</w:t>
      </w:r>
      <w:r>
        <w:t>、当期所得税的计算</w:t>
      </w:r>
    </w:p>
    <w:p w:rsidR="00124E89" w:rsidRDefault="004168DA">
      <w:pPr>
        <w:pStyle w:val="a4"/>
        <w:spacing w:line="500" w:lineRule="exact"/>
      </w:pPr>
      <w:r>
        <w:t>第三节</w:t>
      </w:r>
      <w:r>
        <w:t xml:space="preserve"> </w:t>
      </w:r>
      <w:r>
        <w:t>递延所得税</w:t>
      </w:r>
    </w:p>
    <w:p w:rsidR="00124E89" w:rsidRDefault="004168DA">
      <w:pPr>
        <w:pStyle w:val="a4"/>
        <w:spacing w:line="500" w:lineRule="exact"/>
      </w:pPr>
      <w:r>
        <w:t>1</w:t>
      </w:r>
      <w:r>
        <w:t>、计税基础与暂时性差异</w:t>
      </w:r>
    </w:p>
    <w:p w:rsidR="00124E89" w:rsidRDefault="004168DA">
      <w:pPr>
        <w:pStyle w:val="a4"/>
        <w:spacing w:line="500" w:lineRule="exact"/>
      </w:pPr>
      <w:r>
        <w:lastRenderedPageBreak/>
        <w:t>2</w:t>
      </w:r>
      <w:r>
        <w:t>、递延所得税资产</w:t>
      </w:r>
    </w:p>
    <w:p w:rsidR="00124E89" w:rsidRDefault="004168DA">
      <w:pPr>
        <w:pStyle w:val="a4"/>
        <w:spacing w:line="500" w:lineRule="exact"/>
      </w:pPr>
      <w:r>
        <w:t>3</w:t>
      </w:r>
      <w:r>
        <w:t>、递延所得税负债</w:t>
      </w:r>
    </w:p>
    <w:p w:rsidR="00124E89" w:rsidRDefault="004168DA">
      <w:pPr>
        <w:pStyle w:val="a4"/>
        <w:spacing w:line="500" w:lineRule="exact"/>
      </w:pPr>
      <w:r>
        <w:t>第四节</w:t>
      </w:r>
      <w:r>
        <w:t xml:space="preserve"> </w:t>
      </w:r>
      <w:r>
        <w:t>所得税费用</w:t>
      </w:r>
    </w:p>
    <w:p w:rsidR="00124E89" w:rsidRDefault="004168DA">
      <w:pPr>
        <w:pStyle w:val="a4"/>
        <w:spacing w:line="500" w:lineRule="exact"/>
      </w:pPr>
      <w:r>
        <w:t>1</w:t>
      </w:r>
      <w:r>
        <w:t>、所得税费用的确认</w:t>
      </w:r>
    </w:p>
    <w:p w:rsidR="00124E89" w:rsidRDefault="004168DA">
      <w:pPr>
        <w:pStyle w:val="a4"/>
        <w:spacing w:line="500" w:lineRule="exact"/>
      </w:pPr>
      <w:r>
        <w:t>2</w:t>
      </w:r>
      <w:r>
        <w:t>、所得税费用的计量</w:t>
      </w:r>
    </w:p>
    <w:p w:rsidR="00124E89" w:rsidRDefault="004168DA">
      <w:pPr>
        <w:pStyle w:val="a4"/>
        <w:spacing w:line="500" w:lineRule="exact"/>
      </w:pPr>
      <w:r>
        <w:t>3</w:t>
      </w:r>
      <w:r>
        <w:t>、所得税费用的会计处理</w:t>
      </w:r>
    </w:p>
    <w:p w:rsidR="00124E89" w:rsidRDefault="004168DA">
      <w:pPr>
        <w:pStyle w:val="a4"/>
        <w:spacing w:line="500" w:lineRule="exact"/>
      </w:pPr>
      <w:r>
        <w:t>教学重点、难点：</w:t>
      </w:r>
    </w:p>
    <w:p w:rsidR="00124E89" w:rsidRDefault="004168DA">
      <w:pPr>
        <w:pStyle w:val="a4"/>
        <w:spacing w:line="500" w:lineRule="exact"/>
      </w:pPr>
      <w:r>
        <w:t>所得税的性质；资产负债表债务法的意义以及核算程序；资产、负债计税基础的含义及其确定；暂时性差异的含义和分类；资产、负债项目和特殊项目的暂时性差异的确定；确认递延所得税资产和递延所得税负债的意义；递延所得税资产与递延所得税负债确认时应注意的问题；所得税费用的确认、计量与账务处理。</w:t>
      </w:r>
    </w:p>
    <w:p w:rsidR="00124E89" w:rsidRDefault="004168DA">
      <w:pPr>
        <w:pStyle w:val="a4"/>
        <w:spacing w:line="500" w:lineRule="exact"/>
      </w:pPr>
      <w:r>
        <w:t>课程的考核要求：</w:t>
      </w:r>
    </w:p>
    <w:p w:rsidR="00124E89" w:rsidRDefault="004168DA">
      <w:pPr>
        <w:pStyle w:val="a4"/>
        <w:spacing w:line="500" w:lineRule="exact"/>
      </w:pPr>
      <w:r>
        <w:t>了解：所得税会计、资产负债表债务法、资产计税基础、负债计税基础、暂时性差异、递延所得税资产、递延所得税负债。</w:t>
      </w:r>
    </w:p>
    <w:p w:rsidR="00124E89" w:rsidRDefault="004168DA">
      <w:pPr>
        <w:pStyle w:val="a4"/>
        <w:spacing w:line="500" w:lineRule="exact"/>
      </w:pPr>
      <w:r>
        <w:t>理解：资产负债表债务法的意义以及核算程序、资产、负债计税基础</w:t>
      </w:r>
      <w:r>
        <w:t>的含义、暂时性差异的含义和分类；确认递延所得税资产和递延所得税负债的意义。</w:t>
      </w:r>
    </w:p>
    <w:p w:rsidR="00124E89" w:rsidRDefault="004168DA">
      <w:pPr>
        <w:pStyle w:val="a4"/>
        <w:spacing w:line="500" w:lineRule="exact"/>
      </w:pPr>
      <w:r>
        <w:t>掌握：资产、负债计税基础的确定、资产、负债项目和特殊项目的暂时性差异的确定；递延所得税资产确认、计量和账务处理；递延所得税负债确认、计量和账务处理；所得税费用的确认、计量与账务处理。</w:t>
      </w:r>
    </w:p>
    <w:p w:rsidR="00124E89" w:rsidRDefault="004168DA">
      <w:pPr>
        <w:pStyle w:val="a4"/>
        <w:spacing w:line="500" w:lineRule="exact"/>
      </w:pPr>
      <w:r>
        <w:t>应用：通过所得税会计原理和方法的理解，理解会计信息披露中利润总额与净利润的差额的来源，为所得税会计决策及企业纳税管理提供相关建议。</w:t>
      </w:r>
    </w:p>
    <w:p w:rsidR="00124E89" w:rsidRDefault="004168DA">
      <w:pPr>
        <w:pStyle w:val="a4"/>
        <w:spacing w:line="500" w:lineRule="exact"/>
      </w:pPr>
      <w:r>
        <w:t>思政：暂时性差异中加入思政内容</w:t>
      </w:r>
    </w:p>
    <w:p w:rsidR="00124E89" w:rsidRDefault="004168DA">
      <w:pPr>
        <w:pStyle w:val="a4"/>
        <w:spacing w:line="500" w:lineRule="exact"/>
      </w:pPr>
      <w:r>
        <w:t>复习思考题</w:t>
      </w:r>
    </w:p>
    <w:p w:rsidR="00124E89" w:rsidRDefault="004168DA">
      <w:pPr>
        <w:pStyle w:val="a4"/>
        <w:spacing w:line="500" w:lineRule="exact"/>
      </w:pPr>
      <w:r>
        <w:t>1</w:t>
      </w:r>
      <w:r>
        <w:t>、所得税会计的产生和发展？</w:t>
      </w:r>
    </w:p>
    <w:p w:rsidR="00124E89" w:rsidRDefault="004168DA">
      <w:pPr>
        <w:pStyle w:val="a4"/>
        <w:spacing w:line="500" w:lineRule="exact"/>
      </w:pPr>
      <w:r>
        <w:t>2</w:t>
      </w:r>
      <w:r>
        <w:t>、资产负债表债务法下所得税会计核算的一般程序</w:t>
      </w:r>
      <w:r>
        <w:t>？</w:t>
      </w:r>
    </w:p>
    <w:p w:rsidR="00124E89" w:rsidRDefault="004168DA">
      <w:pPr>
        <w:pStyle w:val="a4"/>
        <w:spacing w:line="500" w:lineRule="exact"/>
      </w:pPr>
      <w:r>
        <w:lastRenderedPageBreak/>
        <w:t>3</w:t>
      </w:r>
      <w:r>
        <w:t>、暂时性差异是如何产生的？</w:t>
      </w:r>
    </w:p>
    <w:p w:rsidR="00124E89" w:rsidRDefault="004168DA">
      <w:pPr>
        <w:pStyle w:val="a4"/>
        <w:spacing w:line="500" w:lineRule="exact"/>
      </w:pPr>
      <w:r>
        <w:t>4</w:t>
      </w:r>
      <w:r>
        <w:t>、什么是资产、负债计税基础，如何确定计税基础？</w:t>
      </w:r>
    </w:p>
    <w:p w:rsidR="00124E89" w:rsidRDefault="004168DA">
      <w:pPr>
        <w:pStyle w:val="a4"/>
        <w:spacing w:line="500" w:lineRule="exact"/>
      </w:pPr>
      <w:r>
        <w:t>5</w:t>
      </w:r>
      <w:r>
        <w:t xml:space="preserve">、哪些项目产生的暂时性差异不确认为递延所得税资产？　</w:t>
      </w:r>
    </w:p>
    <w:p w:rsidR="00124E89" w:rsidRDefault="004168DA">
      <w:pPr>
        <w:pStyle w:val="a4"/>
        <w:spacing w:line="500" w:lineRule="exact"/>
      </w:pPr>
      <w:r>
        <w:t>6</w:t>
      </w:r>
      <w:r>
        <w:t>、不确认为递延所得税负债的情况有哪些？</w:t>
      </w:r>
    </w:p>
    <w:p w:rsidR="00124E89" w:rsidRDefault="004168DA">
      <w:pPr>
        <w:pStyle w:val="a4"/>
        <w:spacing w:line="500" w:lineRule="exact"/>
        <w:ind w:firstLine="482"/>
        <w:jc w:val="center"/>
        <w:rPr>
          <w:b/>
          <w:bCs/>
        </w:rPr>
      </w:pPr>
      <w:r>
        <w:rPr>
          <w:b/>
          <w:bCs/>
        </w:rPr>
        <w:t>第三章　非货币性资产交换</w:t>
      </w:r>
    </w:p>
    <w:p w:rsidR="00124E89" w:rsidRDefault="004168DA">
      <w:pPr>
        <w:pStyle w:val="a4"/>
        <w:spacing w:line="500" w:lineRule="exact"/>
      </w:pPr>
      <w:r>
        <w:t>第一节　非货币性资产交换概述</w:t>
      </w:r>
    </w:p>
    <w:p w:rsidR="00124E89" w:rsidRDefault="004168DA">
      <w:pPr>
        <w:pStyle w:val="a4"/>
        <w:spacing w:line="500" w:lineRule="exact"/>
      </w:pPr>
      <w:r>
        <w:t>１、非货币性资产交换的概念</w:t>
      </w:r>
    </w:p>
    <w:p w:rsidR="00124E89" w:rsidRDefault="004168DA">
      <w:pPr>
        <w:pStyle w:val="a4"/>
        <w:spacing w:line="500" w:lineRule="exact"/>
      </w:pPr>
      <w:r>
        <w:t>２、非货币性资产交换交易的特点及判断标准</w:t>
      </w:r>
    </w:p>
    <w:p w:rsidR="00124E89" w:rsidRDefault="004168DA">
      <w:pPr>
        <w:pStyle w:val="a4"/>
        <w:spacing w:line="500" w:lineRule="exact"/>
      </w:pPr>
      <w:r>
        <w:t>３、货币性资产交换交易与非货币性资产交换交易的主要区别</w:t>
      </w:r>
    </w:p>
    <w:p w:rsidR="00124E89" w:rsidRDefault="004168DA">
      <w:pPr>
        <w:pStyle w:val="a4"/>
        <w:spacing w:line="500" w:lineRule="exact"/>
      </w:pPr>
      <w:r>
        <w:t>第二节</w:t>
      </w:r>
      <w:r>
        <w:t xml:space="preserve"> </w:t>
      </w:r>
      <w:r>
        <w:t>按公允价值计量的非货币性资产交换</w:t>
      </w:r>
    </w:p>
    <w:p w:rsidR="00124E89" w:rsidRDefault="004168DA">
      <w:pPr>
        <w:pStyle w:val="a4"/>
        <w:spacing w:line="500" w:lineRule="exact"/>
      </w:pPr>
      <w:r>
        <w:t>1</w:t>
      </w:r>
      <w:r>
        <w:t>、非货币性资产交换具有商业性质的判断</w:t>
      </w:r>
    </w:p>
    <w:p w:rsidR="00124E89" w:rsidRDefault="004168DA">
      <w:pPr>
        <w:pStyle w:val="a4"/>
        <w:spacing w:line="500" w:lineRule="exact"/>
      </w:pPr>
      <w:r>
        <w:t>2</w:t>
      </w:r>
      <w:r>
        <w:t>、非货币性资产交换公允价值能够可靠计量的确定</w:t>
      </w:r>
    </w:p>
    <w:p w:rsidR="00124E89" w:rsidRDefault="004168DA">
      <w:pPr>
        <w:pStyle w:val="a4"/>
        <w:spacing w:line="500" w:lineRule="exact"/>
      </w:pPr>
      <w:r>
        <w:t>3</w:t>
      </w:r>
      <w:r>
        <w:t>、不涉及补价的非货币性资产交换的会计处理</w:t>
      </w:r>
    </w:p>
    <w:p w:rsidR="00124E89" w:rsidRDefault="004168DA">
      <w:pPr>
        <w:pStyle w:val="a4"/>
        <w:spacing w:line="500" w:lineRule="exact"/>
      </w:pPr>
      <w:r>
        <w:t>4</w:t>
      </w:r>
      <w:r>
        <w:t>、涉及补价的非货币性资产交换的会计处理</w:t>
      </w:r>
    </w:p>
    <w:p w:rsidR="00124E89" w:rsidRDefault="004168DA">
      <w:pPr>
        <w:pStyle w:val="a4"/>
        <w:spacing w:line="500" w:lineRule="exact"/>
      </w:pPr>
      <w:r>
        <w:t>第三节</w:t>
      </w:r>
      <w:r>
        <w:t xml:space="preserve"> </w:t>
      </w:r>
      <w:r>
        <w:t>按账面价值计量的非货币性资产交换</w:t>
      </w:r>
    </w:p>
    <w:p w:rsidR="00124E89" w:rsidRDefault="004168DA">
      <w:pPr>
        <w:pStyle w:val="a4"/>
        <w:spacing w:line="500" w:lineRule="exact"/>
      </w:pPr>
      <w:r>
        <w:t>1</w:t>
      </w:r>
      <w:r>
        <w:t>、不涉及补价的非货币性资产交换</w:t>
      </w:r>
    </w:p>
    <w:p w:rsidR="00124E89" w:rsidRDefault="004168DA">
      <w:pPr>
        <w:pStyle w:val="a4"/>
        <w:spacing w:line="500" w:lineRule="exact"/>
      </w:pPr>
      <w:r>
        <w:t>2</w:t>
      </w:r>
      <w:r>
        <w:t>、涉及补价的非货币性资产交换</w:t>
      </w:r>
    </w:p>
    <w:p w:rsidR="00124E89" w:rsidRDefault="004168DA">
      <w:pPr>
        <w:pStyle w:val="a4"/>
        <w:spacing w:line="500" w:lineRule="exact"/>
      </w:pPr>
      <w:r>
        <w:t>第四节</w:t>
      </w:r>
      <w:r>
        <w:t xml:space="preserve"> </w:t>
      </w:r>
      <w:r>
        <w:t>涉及多项非货币性资产的交换</w:t>
      </w:r>
    </w:p>
    <w:p w:rsidR="00124E89" w:rsidRDefault="004168DA">
      <w:pPr>
        <w:pStyle w:val="a4"/>
        <w:spacing w:line="500" w:lineRule="exact"/>
      </w:pPr>
      <w:r>
        <w:t>1</w:t>
      </w:r>
      <w:r>
        <w:t>、换入涉及多项非货币性资产的交换的计量</w:t>
      </w:r>
    </w:p>
    <w:p w:rsidR="00124E89" w:rsidRDefault="004168DA">
      <w:pPr>
        <w:pStyle w:val="a4"/>
        <w:spacing w:line="500" w:lineRule="exact"/>
      </w:pPr>
      <w:r>
        <w:t>2</w:t>
      </w:r>
      <w:r>
        <w:t>、涉及多项非货币性资产交换按公允价值计量的会计处理</w:t>
      </w:r>
    </w:p>
    <w:p w:rsidR="00124E89" w:rsidRDefault="004168DA">
      <w:pPr>
        <w:pStyle w:val="a4"/>
        <w:spacing w:line="500" w:lineRule="exact"/>
      </w:pPr>
      <w:r>
        <w:t>3</w:t>
      </w:r>
      <w:r>
        <w:t>、涉及多项非货币性资产交换按账面价值计量的会计处理</w:t>
      </w:r>
    </w:p>
    <w:p w:rsidR="00124E89" w:rsidRDefault="004168DA">
      <w:pPr>
        <w:pStyle w:val="a4"/>
        <w:spacing w:line="500" w:lineRule="exact"/>
      </w:pPr>
      <w:r>
        <w:t>本章教学重点、难点：</w:t>
      </w:r>
    </w:p>
    <w:p w:rsidR="00124E89" w:rsidRDefault="004168DA">
      <w:pPr>
        <w:pStyle w:val="a4"/>
        <w:spacing w:line="500" w:lineRule="exact"/>
      </w:pPr>
      <w:r>
        <w:t>非货币性资产交换的概念</w:t>
      </w:r>
    </w:p>
    <w:p w:rsidR="00124E89" w:rsidRDefault="004168DA">
      <w:pPr>
        <w:pStyle w:val="a4"/>
        <w:spacing w:line="500" w:lineRule="exact"/>
      </w:pPr>
      <w:r>
        <w:t>非货币性资产交换的特点及判断标准</w:t>
      </w:r>
    </w:p>
    <w:p w:rsidR="00124E89" w:rsidRDefault="004168DA">
      <w:pPr>
        <w:pStyle w:val="a4"/>
        <w:spacing w:line="500" w:lineRule="exact"/>
      </w:pPr>
      <w:r>
        <w:t>货币性资产交换交易与非货币性资产交换交易的主要区别</w:t>
      </w:r>
    </w:p>
    <w:p w:rsidR="00124E89" w:rsidRDefault="004168DA">
      <w:pPr>
        <w:pStyle w:val="a4"/>
        <w:spacing w:line="500" w:lineRule="exact"/>
      </w:pPr>
      <w:r>
        <w:lastRenderedPageBreak/>
        <w:t>非货币性资产交换具有商业性质的判定条件</w:t>
      </w:r>
    </w:p>
    <w:p w:rsidR="00124E89" w:rsidRDefault="004168DA">
      <w:pPr>
        <w:pStyle w:val="a4"/>
        <w:spacing w:line="500" w:lineRule="exact"/>
      </w:pPr>
      <w:r>
        <w:t>非货币性资产交换同时换入多项资产的会计处理</w:t>
      </w:r>
    </w:p>
    <w:p w:rsidR="00124E89" w:rsidRDefault="004168DA">
      <w:pPr>
        <w:pStyle w:val="a4"/>
        <w:spacing w:line="500" w:lineRule="exact"/>
      </w:pPr>
      <w:r>
        <w:t>课程的考核要求：</w:t>
      </w:r>
    </w:p>
    <w:p w:rsidR="00124E89" w:rsidRDefault="004168DA">
      <w:pPr>
        <w:pStyle w:val="a4"/>
        <w:spacing w:line="500" w:lineRule="exact"/>
      </w:pPr>
      <w:r>
        <w:t>了解：非货币性资产交换交易的特点及判断标准、非货币性资产交换具有商业性质的判断。</w:t>
      </w:r>
    </w:p>
    <w:p w:rsidR="00124E89" w:rsidRDefault="004168DA">
      <w:pPr>
        <w:pStyle w:val="a4"/>
        <w:spacing w:line="500" w:lineRule="exact"/>
      </w:pPr>
      <w:r>
        <w:t>理解：非货币性资产交换的概念、按公允价值计量的非货币性资产交换。</w:t>
      </w:r>
    </w:p>
    <w:p w:rsidR="00124E89" w:rsidRDefault="004168DA">
      <w:pPr>
        <w:pStyle w:val="a4"/>
        <w:spacing w:line="500" w:lineRule="exact"/>
      </w:pPr>
      <w:r>
        <w:t>掌握：按账面价值计量的不涉及补价与涉及补价的非货币性资产交换的会计处理；换入涉及多项非货币性资产的交换的计量；涉及多项非货币性资产交换按公允价值计量与按账面价值计量的会计处理。</w:t>
      </w:r>
    </w:p>
    <w:p w:rsidR="00124E89" w:rsidRDefault="004168DA">
      <w:pPr>
        <w:pStyle w:val="a4"/>
        <w:spacing w:line="500" w:lineRule="exact"/>
      </w:pPr>
      <w:r>
        <w:t>应用：根据非货币性资产交换会计处理的基本理论和方法，为企业非货币性资产交换的价值计量</w:t>
      </w:r>
      <w:r>
        <w:t>、核算方法提供管理建议。</w:t>
      </w:r>
    </w:p>
    <w:p w:rsidR="00124E89" w:rsidRDefault="004168DA">
      <w:pPr>
        <w:pStyle w:val="a4"/>
        <w:spacing w:line="500" w:lineRule="exact"/>
      </w:pPr>
      <w:r>
        <w:t>思政：确定非货币性资产交换是否具有商业实质时，加入思政内容</w:t>
      </w:r>
    </w:p>
    <w:p w:rsidR="00124E89" w:rsidRDefault="004168DA">
      <w:pPr>
        <w:pStyle w:val="a4"/>
        <w:spacing w:line="500" w:lineRule="exact"/>
      </w:pPr>
      <w:r>
        <w:t>复习思考题</w:t>
      </w:r>
    </w:p>
    <w:p w:rsidR="00124E89" w:rsidRDefault="004168DA">
      <w:pPr>
        <w:pStyle w:val="a4"/>
        <w:spacing w:line="500" w:lineRule="exact"/>
      </w:pPr>
      <w:r>
        <w:t>非货币性资产交换的概念和特点？</w:t>
      </w:r>
    </w:p>
    <w:p w:rsidR="00124E89" w:rsidRDefault="004168DA">
      <w:pPr>
        <w:pStyle w:val="a4"/>
        <w:spacing w:line="500" w:lineRule="exact"/>
      </w:pPr>
      <w:r>
        <w:t>货币性资产交换交易与非货币性资产交换交易的主要区别有哪些？</w:t>
      </w:r>
    </w:p>
    <w:p w:rsidR="00124E89" w:rsidRDefault="004168DA">
      <w:pPr>
        <w:pStyle w:val="a4"/>
        <w:spacing w:line="500" w:lineRule="exact"/>
      </w:pPr>
      <w:r>
        <w:t>货币性资产交换交易与非货币性资产交换交易的主要区别有哪些？</w:t>
      </w:r>
    </w:p>
    <w:p w:rsidR="00124E89" w:rsidRDefault="004168DA">
      <w:pPr>
        <w:pStyle w:val="a4"/>
        <w:spacing w:line="500" w:lineRule="exact"/>
      </w:pPr>
      <w:r>
        <w:t>如何判断非货币资产交换的商业实质？</w:t>
      </w:r>
    </w:p>
    <w:p w:rsidR="00124E89" w:rsidRDefault="004168DA">
      <w:pPr>
        <w:pStyle w:val="a4"/>
        <w:spacing w:line="500" w:lineRule="exact"/>
      </w:pPr>
      <w:r>
        <w:t>非货币性资产交换中，为什么具有商业实质的交换采用公允价值计量、不具有商业实质的采用账面价值计量？</w:t>
      </w:r>
    </w:p>
    <w:p w:rsidR="00124E89" w:rsidRDefault="004168DA">
      <w:pPr>
        <w:pStyle w:val="a4"/>
        <w:spacing w:line="500" w:lineRule="exact"/>
        <w:ind w:firstLine="482"/>
        <w:jc w:val="center"/>
        <w:rPr>
          <w:b/>
          <w:bCs/>
        </w:rPr>
      </w:pPr>
      <w:r>
        <w:rPr>
          <w:b/>
          <w:bCs/>
        </w:rPr>
        <w:t>第四章</w:t>
      </w:r>
      <w:r>
        <w:rPr>
          <w:b/>
          <w:bCs/>
        </w:rPr>
        <w:t xml:space="preserve">  </w:t>
      </w:r>
      <w:r>
        <w:rPr>
          <w:b/>
          <w:bCs/>
        </w:rPr>
        <w:t>套期保值</w:t>
      </w:r>
    </w:p>
    <w:p w:rsidR="00124E89" w:rsidRDefault="004168DA">
      <w:pPr>
        <w:pStyle w:val="a4"/>
        <w:spacing w:line="500" w:lineRule="exact"/>
      </w:pPr>
      <w:r>
        <w:t>第一节</w:t>
      </w:r>
      <w:r>
        <w:t xml:space="preserve"> </w:t>
      </w:r>
      <w:r>
        <w:t>套期保值的概念与分类</w:t>
      </w:r>
    </w:p>
    <w:p w:rsidR="00124E89" w:rsidRDefault="004168DA">
      <w:pPr>
        <w:pStyle w:val="a4"/>
        <w:spacing w:line="500" w:lineRule="exact"/>
      </w:pPr>
      <w:r>
        <w:t>1</w:t>
      </w:r>
      <w:r>
        <w:t>、套期保值的概念</w:t>
      </w:r>
    </w:p>
    <w:p w:rsidR="00124E89" w:rsidRDefault="004168DA">
      <w:pPr>
        <w:pStyle w:val="a4"/>
        <w:spacing w:line="500" w:lineRule="exact"/>
      </w:pPr>
      <w:r>
        <w:t>2</w:t>
      </w:r>
      <w:r>
        <w:t>、套期保值的分类</w:t>
      </w:r>
    </w:p>
    <w:p w:rsidR="00124E89" w:rsidRDefault="004168DA">
      <w:pPr>
        <w:pStyle w:val="a4"/>
        <w:spacing w:line="500" w:lineRule="exact"/>
      </w:pPr>
      <w:r>
        <w:t>第二节</w:t>
      </w:r>
      <w:r>
        <w:t xml:space="preserve"> </w:t>
      </w:r>
      <w:r>
        <w:t>套期工具与被套期项目</w:t>
      </w:r>
    </w:p>
    <w:p w:rsidR="00124E89" w:rsidRDefault="004168DA">
      <w:pPr>
        <w:pStyle w:val="a4"/>
        <w:spacing w:line="500" w:lineRule="exact"/>
      </w:pPr>
      <w:r>
        <w:t>1</w:t>
      </w:r>
      <w:r>
        <w:t>、套期工具</w:t>
      </w:r>
    </w:p>
    <w:p w:rsidR="00124E89" w:rsidRDefault="004168DA">
      <w:pPr>
        <w:pStyle w:val="a4"/>
        <w:spacing w:line="500" w:lineRule="exact"/>
      </w:pPr>
      <w:r>
        <w:lastRenderedPageBreak/>
        <w:t>2</w:t>
      </w:r>
      <w:r>
        <w:t>、衍生工具</w:t>
      </w:r>
    </w:p>
    <w:p w:rsidR="00124E89" w:rsidRDefault="004168DA">
      <w:pPr>
        <w:pStyle w:val="a4"/>
        <w:spacing w:line="500" w:lineRule="exact"/>
      </w:pPr>
      <w:r>
        <w:t>3</w:t>
      </w:r>
      <w:r>
        <w:t>、被套期项目</w:t>
      </w:r>
    </w:p>
    <w:p w:rsidR="00124E89" w:rsidRDefault="004168DA">
      <w:pPr>
        <w:pStyle w:val="a4"/>
        <w:spacing w:line="500" w:lineRule="exact"/>
      </w:pPr>
      <w:r>
        <w:t>4</w:t>
      </w:r>
      <w:r>
        <w:t>、套期关系</w:t>
      </w:r>
    </w:p>
    <w:p w:rsidR="00124E89" w:rsidRDefault="004168DA">
      <w:pPr>
        <w:pStyle w:val="a4"/>
        <w:spacing w:line="500" w:lineRule="exact"/>
      </w:pPr>
      <w:r>
        <w:t>第三节</w:t>
      </w:r>
      <w:r>
        <w:t xml:space="preserve"> </w:t>
      </w:r>
      <w:r>
        <w:t>应用套期保值会计的条件</w:t>
      </w:r>
    </w:p>
    <w:p w:rsidR="00124E89" w:rsidRDefault="004168DA">
      <w:pPr>
        <w:pStyle w:val="a4"/>
        <w:spacing w:line="500" w:lineRule="exact"/>
      </w:pPr>
      <w:r>
        <w:t>1</w:t>
      </w:r>
      <w:r>
        <w:t>、存在套期关系</w:t>
      </w:r>
    </w:p>
    <w:p w:rsidR="00124E89" w:rsidRDefault="004168DA">
      <w:pPr>
        <w:pStyle w:val="a4"/>
        <w:spacing w:line="500" w:lineRule="exact"/>
      </w:pPr>
      <w:r>
        <w:t>2</w:t>
      </w:r>
      <w:r>
        <w:t>、存在套期有效性</w:t>
      </w:r>
    </w:p>
    <w:p w:rsidR="00124E89" w:rsidRDefault="004168DA">
      <w:pPr>
        <w:pStyle w:val="a4"/>
        <w:spacing w:line="500" w:lineRule="exact"/>
      </w:pPr>
      <w:r>
        <w:t>第四节</w:t>
      </w:r>
      <w:r>
        <w:t xml:space="preserve"> </w:t>
      </w:r>
      <w:r>
        <w:t>套期保值业务的会计处理</w:t>
      </w:r>
    </w:p>
    <w:p w:rsidR="00124E89" w:rsidRDefault="004168DA">
      <w:pPr>
        <w:pStyle w:val="a4"/>
        <w:spacing w:line="500" w:lineRule="exact"/>
      </w:pPr>
      <w:r>
        <w:t>1</w:t>
      </w:r>
      <w:r>
        <w:t>、套期会计科目</w:t>
      </w:r>
    </w:p>
    <w:p w:rsidR="00124E89" w:rsidRDefault="004168DA">
      <w:pPr>
        <w:pStyle w:val="a4"/>
        <w:spacing w:line="500" w:lineRule="exact"/>
      </w:pPr>
      <w:r>
        <w:t>2</w:t>
      </w:r>
      <w:r>
        <w:t>、公允价值套期</w:t>
      </w:r>
    </w:p>
    <w:p w:rsidR="00124E89" w:rsidRDefault="004168DA">
      <w:pPr>
        <w:pStyle w:val="a4"/>
        <w:spacing w:line="500" w:lineRule="exact"/>
      </w:pPr>
      <w:r>
        <w:t>3</w:t>
      </w:r>
      <w:r>
        <w:t>、现金流量套期</w:t>
      </w:r>
    </w:p>
    <w:p w:rsidR="00124E89" w:rsidRDefault="004168DA">
      <w:pPr>
        <w:pStyle w:val="a4"/>
        <w:spacing w:line="500" w:lineRule="exact"/>
      </w:pPr>
      <w:r>
        <w:t>4</w:t>
      </w:r>
      <w:r>
        <w:t>、境外经营净投资套期</w:t>
      </w:r>
    </w:p>
    <w:p w:rsidR="00124E89" w:rsidRDefault="004168DA">
      <w:pPr>
        <w:pStyle w:val="a4"/>
        <w:spacing w:line="500" w:lineRule="exact"/>
      </w:pPr>
      <w:r>
        <w:t>5</w:t>
      </w:r>
      <w:r>
        <w:t>、套期保值会计的比较</w:t>
      </w:r>
    </w:p>
    <w:p w:rsidR="00124E89" w:rsidRDefault="004168DA">
      <w:pPr>
        <w:pStyle w:val="a4"/>
        <w:spacing w:line="500" w:lineRule="exact"/>
      </w:pPr>
      <w:r>
        <w:t>重点难点：</w:t>
      </w:r>
    </w:p>
    <w:p w:rsidR="00124E89" w:rsidRDefault="004168DA">
      <w:pPr>
        <w:pStyle w:val="a4"/>
        <w:spacing w:line="500" w:lineRule="exact"/>
      </w:pPr>
      <w:r>
        <w:t>套期保值的概念及分类；套期关系及套期有效性；套期保值的会计处理。</w:t>
      </w:r>
    </w:p>
    <w:p w:rsidR="00124E89" w:rsidRDefault="004168DA">
      <w:pPr>
        <w:pStyle w:val="a4"/>
        <w:spacing w:line="500" w:lineRule="exact"/>
      </w:pPr>
      <w:r>
        <w:t>课程的考核要求：</w:t>
      </w:r>
    </w:p>
    <w:p w:rsidR="00124E89" w:rsidRDefault="004168DA">
      <w:pPr>
        <w:pStyle w:val="a4"/>
        <w:spacing w:line="500" w:lineRule="exact"/>
      </w:pPr>
      <w:r>
        <w:t>了解：衍生工具的概念及分类；套期保值会计的产生和发展；衍生金融工具的一般会计处理方法。</w:t>
      </w:r>
    </w:p>
    <w:p w:rsidR="00124E89" w:rsidRDefault="004168DA">
      <w:pPr>
        <w:pStyle w:val="a4"/>
        <w:spacing w:line="500" w:lineRule="exact"/>
      </w:pPr>
      <w:r>
        <w:t>理解：套期工具、被套期项目与套期关系；套期会计的应用条件。</w:t>
      </w:r>
    </w:p>
    <w:p w:rsidR="00124E89" w:rsidRDefault="004168DA">
      <w:pPr>
        <w:pStyle w:val="a4"/>
        <w:spacing w:line="500" w:lineRule="exact"/>
      </w:pPr>
      <w:r>
        <w:t>掌握：套期保值的会计科目设置；套期保值业务的会计处理；不同套期保值会计的区别。</w:t>
      </w:r>
    </w:p>
    <w:p w:rsidR="00124E89" w:rsidRDefault="004168DA">
      <w:pPr>
        <w:pStyle w:val="a4"/>
        <w:spacing w:line="500" w:lineRule="exact"/>
      </w:pPr>
      <w:r>
        <w:t>应用：利用套期保值会计的基本原理，从事各类套期保值业务的会计处理，为套期保值业务管理提供相关帮助。</w:t>
      </w:r>
    </w:p>
    <w:p w:rsidR="00124E89" w:rsidRDefault="004168DA">
      <w:pPr>
        <w:pStyle w:val="a4"/>
        <w:spacing w:line="500" w:lineRule="exact"/>
      </w:pPr>
      <w:r>
        <w:t>思政：衍生工具中加入思政内容</w:t>
      </w:r>
    </w:p>
    <w:p w:rsidR="00124E89" w:rsidRDefault="004168DA">
      <w:pPr>
        <w:pStyle w:val="a4"/>
        <w:spacing w:line="500" w:lineRule="exact"/>
      </w:pPr>
      <w:r>
        <w:t>复习思考题：</w:t>
      </w:r>
    </w:p>
    <w:p w:rsidR="00124E89" w:rsidRDefault="004168DA">
      <w:pPr>
        <w:pStyle w:val="a4"/>
        <w:spacing w:line="500" w:lineRule="exact"/>
      </w:pPr>
      <w:r>
        <w:t>1</w:t>
      </w:r>
      <w:r>
        <w:t>、哪些工具通常可以作为套期工具？为什么？</w:t>
      </w:r>
    </w:p>
    <w:p w:rsidR="00124E89" w:rsidRDefault="004168DA">
      <w:pPr>
        <w:pStyle w:val="a4"/>
        <w:spacing w:line="500" w:lineRule="exact"/>
      </w:pPr>
      <w:r>
        <w:lastRenderedPageBreak/>
        <w:t>2</w:t>
      </w:r>
      <w:r>
        <w:t>、企业哪些项目通常可以作为被套期的项目</w:t>
      </w:r>
      <w:r>
        <w:t>?</w:t>
      </w:r>
    </w:p>
    <w:p w:rsidR="00124E89" w:rsidRDefault="004168DA">
      <w:pPr>
        <w:pStyle w:val="a4"/>
        <w:spacing w:line="500" w:lineRule="exact"/>
      </w:pPr>
      <w:r>
        <w:t>3</w:t>
      </w:r>
      <w:r>
        <w:t>、运用套期保值会计需具备哪些条件</w:t>
      </w:r>
      <w:r>
        <w:t>?</w:t>
      </w:r>
    </w:p>
    <w:p w:rsidR="00124E89" w:rsidRDefault="004168DA">
      <w:pPr>
        <w:pStyle w:val="a4"/>
        <w:spacing w:line="500" w:lineRule="exact"/>
      </w:pPr>
      <w:r>
        <w:t>4</w:t>
      </w:r>
      <w:r>
        <w:t>、如何认定高度有效套期</w:t>
      </w:r>
      <w:r>
        <w:t>?</w:t>
      </w:r>
    </w:p>
    <w:p w:rsidR="00124E89" w:rsidRDefault="004168DA">
      <w:pPr>
        <w:pStyle w:val="a4"/>
        <w:spacing w:line="500" w:lineRule="exact"/>
      </w:pPr>
      <w:r>
        <w:t>5</w:t>
      </w:r>
      <w:r>
        <w:t>、进行套期有效性评价有哪些主要方法</w:t>
      </w:r>
      <w:r>
        <w:t>?</w:t>
      </w:r>
    </w:p>
    <w:p w:rsidR="00124E89" w:rsidRDefault="004168DA">
      <w:pPr>
        <w:pStyle w:val="a4"/>
        <w:spacing w:line="500" w:lineRule="exact"/>
      </w:pPr>
      <w:r>
        <w:t>6</w:t>
      </w:r>
      <w:r>
        <w:t>、根据国际会计惯例，有哪些套期保值会计方法？</w:t>
      </w:r>
    </w:p>
    <w:p w:rsidR="00124E89" w:rsidRDefault="004168DA">
      <w:pPr>
        <w:pStyle w:val="a4"/>
        <w:spacing w:line="500" w:lineRule="exact"/>
      </w:pPr>
      <w:r>
        <w:t>7</w:t>
      </w:r>
      <w:r>
        <w:t>、终止运用公允价值套期会计方法的条件是什么？</w:t>
      </w:r>
    </w:p>
    <w:p w:rsidR="00124E89" w:rsidRDefault="004168DA">
      <w:pPr>
        <w:pStyle w:val="a4"/>
        <w:spacing w:line="500" w:lineRule="exact"/>
      </w:pPr>
      <w:r>
        <w:t>8</w:t>
      </w:r>
      <w:r>
        <w:t>、终止运用现金流量套期会计方法的条件是什么？</w:t>
      </w:r>
    </w:p>
    <w:p w:rsidR="00124E89" w:rsidRDefault="004168DA">
      <w:pPr>
        <w:pStyle w:val="a4"/>
        <w:spacing w:line="500" w:lineRule="exact"/>
      </w:pPr>
      <w:r>
        <w:t>9</w:t>
      </w:r>
      <w:r>
        <w:t>、不同套期保值会计有什么不同点？</w:t>
      </w:r>
    </w:p>
    <w:p w:rsidR="00124E89" w:rsidRDefault="004168DA">
      <w:pPr>
        <w:pStyle w:val="a4"/>
        <w:spacing w:line="500" w:lineRule="exact"/>
        <w:ind w:firstLine="482"/>
        <w:jc w:val="center"/>
        <w:rPr>
          <w:b/>
          <w:bCs/>
        </w:rPr>
      </w:pPr>
      <w:r>
        <w:rPr>
          <w:b/>
          <w:bCs/>
        </w:rPr>
        <w:t>第五章</w:t>
      </w:r>
      <w:r>
        <w:rPr>
          <w:b/>
          <w:bCs/>
        </w:rPr>
        <w:t xml:space="preserve">  </w:t>
      </w:r>
      <w:r>
        <w:rPr>
          <w:b/>
          <w:bCs/>
        </w:rPr>
        <w:t>租赁</w:t>
      </w:r>
    </w:p>
    <w:p w:rsidR="00124E89" w:rsidRDefault="004168DA">
      <w:pPr>
        <w:pStyle w:val="a4"/>
        <w:spacing w:line="500" w:lineRule="exact"/>
      </w:pPr>
      <w:r>
        <w:t>第一节</w:t>
      </w:r>
      <w:r>
        <w:t xml:space="preserve"> </w:t>
      </w:r>
      <w:r>
        <w:t>租赁的性质及其分类</w:t>
      </w:r>
    </w:p>
    <w:p w:rsidR="00124E89" w:rsidRDefault="004168DA">
      <w:pPr>
        <w:pStyle w:val="a4"/>
        <w:spacing w:line="500" w:lineRule="exact"/>
      </w:pPr>
      <w:r>
        <w:t>1</w:t>
      </w:r>
      <w:r>
        <w:t>、租赁的性质</w:t>
      </w:r>
    </w:p>
    <w:p w:rsidR="00124E89" w:rsidRDefault="004168DA">
      <w:pPr>
        <w:pStyle w:val="a4"/>
        <w:spacing w:line="500" w:lineRule="exact"/>
      </w:pPr>
      <w:r>
        <w:t>2</w:t>
      </w:r>
      <w:r>
        <w:t>、租赁的分类</w:t>
      </w:r>
    </w:p>
    <w:p w:rsidR="00124E89" w:rsidRDefault="004168DA">
      <w:pPr>
        <w:pStyle w:val="a4"/>
        <w:spacing w:line="500" w:lineRule="exact"/>
      </w:pPr>
      <w:r>
        <w:t>第二节</w:t>
      </w:r>
      <w:r>
        <w:t xml:space="preserve"> </w:t>
      </w:r>
      <w:r>
        <w:t>承租人的会计处理</w:t>
      </w:r>
    </w:p>
    <w:p w:rsidR="00124E89" w:rsidRDefault="004168DA">
      <w:pPr>
        <w:pStyle w:val="a4"/>
        <w:spacing w:line="500" w:lineRule="exact"/>
      </w:pPr>
      <w:r>
        <w:t>1</w:t>
      </w:r>
      <w:r>
        <w:t>、使用权资产租赁的会计处理</w:t>
      </w:r>
    </w:p>
    <w:p w:rsidR="00124E89" w:rsidRDefault="004168DA">
      <w:pPr>
        <w:pStyle w:val="a4"/>
        <w:spacing w:line="500" w:lineRule="exact"/>
      </w:pPr>
      <w:r>
        <w:t>2</w:t>
      </w:r>
      <w:r>
        <w:t>、短期租赁与低价值资产租赁的会计处理</w:t>
      </w:r>
    </w:p>
    <w:p w:rsidR="00124E89" w:rsidRDefault="004168DA">
      <w:pPr>
        <w:pStyle w:val="a4"/>
        <w:spacing w:line="500" w:lineRule="exact"/>
      </w:pPr>
      <w:r>
        <w:t>第三节</w:t>
      </w:r>
      <w:r>
        <w:t xml:space="preserve"> </w:t>
      </w:r>
      <w:r>
        <w:t>出租人的会计处理</w:t>
      </w:r>
    </w:p>
    <w:p w:rsidR="00124E89" w:rsidRDefault="004168DA">
      <w:pPr>
        <w:pStyle w:val="a4"/>
        <w:spacing w:line="500" w:lineRule="exact"/>
      </w:pPr>
      <w:r>
        <w:t>1</w:t>
      </w:r>
      <w:r>
        <w:t>、融资租赁的会计处理</w:t>
      </w:r>
    </w:p>
    <w:p w:rsidR="00124E89" w:rsidRDefault="004168DA">
      <w:pPr>
        <w:pStyle w:val="a4"/>
        <w:spacing w:line="500" w:lineRule="exact"/>
      </w:pPr>
      <w:r>
        <w:t>2</w:t>
      </w:r>
      <w:r>
        <w:t>、经营租赁的会计处理</w:t>
      </w:r>
    </w:p>
    <w:p w:rsidR="00124E89" w:rsidRDefault="004168DA">
      <w:pPr>
        <w:pStyle w:val="a4"/>
        <w:spacing w:line="500" w:lineRule="exact"/>
      </w:pPr>
      <w:r>
        <w:t>第四节</w:t>
      </w:r>
      <w:r>
        <w:t xml:space="preserve"> </w:t>
      </w:r>
      <w:r>
        <w:t>其他租赁业务的会计处理</w:t>
      </w:r>
    </w:p>
    <w:p w:rsidR="00124E89" w:rsidRDefault="004168DA">
      <w:pPr>
        <w:pStyle w:val="a4"/>
        <w:spacing w:line="500" w:lineRule="exact"/>
      </w:pPr>
      <w:r>
        <w:t>1</w:t>
      </w:r>
      <w:r>
        <w:t>、转租租赁</w:t>
      </w:r>
    </w:p>
    <w:p w:rsidR="00124E89" w:rsidRDefault="004168DA">
      <w:pPr>
        <w:pStyle w:val="a4"/>
        <w:spacing w:line="500" w:lineRule="exact"/>
      </w:pPr>
      <w:r>
        <w:t>2</w:t>
      </w:r>
      <w:r>
        <w:t>、售后回租</w:t>
      </w:r>
    </w:p>
    <w:p w:rsidR="00124E89" w:rsidRDefault="004168DA">
      <w:pPr>
        <w:pStyle w:val="a4"/>
        <w:spacing w:line="500" w:lineRule="exact"/>
      </w:pPr>
      <w:r>
        <w:t>3</w:t>
      </w:r>
      <w:r>
        <w:t>、不动产租赁</w:t>
      </w:r>
    </w:p>
    <w:p w:rsidR="00124E89" w:rsidRDefault="004168DA">
      <w:pPr>
        <w:pStyle w:val="a4"/>
        <w:spacing w:line="500" w:lineRule="exact"/>
      </w:pPr>
      <w:r>
        <w:t>4</w:t>
      </w:r>
      <w:r>
        <w:t>、杠杆租赁</w:t>
      </w:r>
    </w:p>
    <w:p w:rsidR="00124E89" w:rsidRDefault="004168DA">
      <w:pPr>
        <w:pStyle w:val="a4"/>
        <w:spacing w:line="500" w:lineRule="exact"/>
      </w:pPr>
      <w:r>
        <w:t>教学重点难点：</w:t>
      </w:r>
    </w:p>
    <w:p w:rsidR="00124E89" w:rsidRDefault="004168DA">
      <w:pPr>
        <w:pStyle w:val="a4"/>
        <w:spacing w:line="500" w:lineRule="exact"/>
      </w:pPr>
      <w:r>
        <w:t>租赁的定义；经营租赁与融资租赁租赁的分类；承租人经营租赁和融资租赁业</w:t>
      </w:r>
      <w:r>
        <w:lastRenderedPageBreak/>
        <w:t>务的会计处理；出租人经营租赁和融资租赁业务的会计处理。</w:t>
      </w:r>
    </w:p>
    <w:p w:rsidR="00124E89" w:rsidRDefault="004168DA">
      <w:pPr>
        <w:pStyle w:val="a4"/>
        <w:spacing w:line="500" w:lineRule="exact"/>
      </w:pPr>
      <w:r>
        <w:t>课程的考核要求：</w:t>
      </w:r>
    </w:p>
    <w:p w:rsidR="00124E89" w:rsidRDefault="004168DA">
      <w:pPr>
        <w:pStyle w:val="a4"/>
        <w:spacing w:line="500" w:lineRule="exact"/>
      </w:pPr>
      <w:r>
        <w:t>了解：租赁业务的特点和意义、租赁的性质。</w:t>
      </w:r>
    </w:p>
    <w:p w:rsidR="00124E89" w:rsidRDefault="004168DA">
      <w:pPr>
        <w:pStyle w:val="a4"/>
        <w:spacing w:line="500" w:lineRule="exact"/>
      </w:pPr>
      <w:r>
        <w:t>理解：租赁业务的分类、转租租赁、回租租赁、不动产租赁和杠杆租赁的会计处理。</w:t>
      </w:r>
    </w:p>
    <w:p w:rsidR="00124E89" w:rsidRDefault="004168DA">
      <w:pPr>
        <w:pStyle w:val="a4"/>
        <w:spacing w:line="500" w:lineRule="exact"/>
      </w:pPr>
      <w:r>
        <w:t>掌握：经营租赁的会计处理；融资租赁的会计处理；最低租赁付款额计算、最低租赁收款额计算。</w:t>
      </w:r>
    </w:p>
    <w:p w:rsidR="00124E89" w:rsidRDefault="004168DA">
      <w:pPr>
        <w:pStyle w:val="a4"/>
        <w:spacing w:line="500" w:lineRule="exact"/>
      </w:pPr>
      <w:r>
        <w:t>应用：利用租赁会计基本原理及方法，进行各种租赁业务的会计处理并为租赁管理提供帮助。</w:t>
      </w:r>
    </w:p>
    <w:p w:rsidR="00124E89" w:rsidRDefault="004168DA">
      <w:pPr>
        <w:pStyle w:val="a4"/>
        <w:spacing w:line="500" w:lineRule="exact"/>
      </w:pPr>
      <w:r>
        <w:t>思政：续租选择权、优惠购买选择权中，加入思政内容</w:t>
      </w:r>
    </w:p>
    <w:p w:rsidR="00124E89" w:rsidRDefault="004168DA">
      <w:pPr>
        <w:pStyle w:val="a4"/>
        <w:spacing w:line="500" w:lineRule="exact"/>
      </w:pPr>
      <w:r>
        <w:t>复习思考题：</w:t>
      </w:r>
    </w:p>
    <w:p w:rsidR="00124E89" w:rsidRDefault="004168DA">
      <w:pPr>
        <w:pStyle w:val="a4"/>
        <w:spacing w:line="500" w:lineRule="exact"/>
      </w:pPr>
      <w:r>
        <w:t>1</w:t>
      </w:r>
      <w:r>
        <w:t>、试述租赁业务</w:t>
      </w:r>
      <w:r>
        <w:t>的意义和特点。</w:t>
      </w:r>
    </w:p>
    <w:p w:rsidR="00124E89" w:rsidRDefault="004168DA">
      <w:pPr>
        <w:pStyle w:val="a4"/>
        <w:spacing w:line="500" w:lineRule="exact"/>
      </w:pPr>
      <w:r>
        <w:t>2</w:t>
      </w:r>
      <w:r>
        <w:t>、如何判断一项租赁业务是经营租赁还是融资租赁？</w:t>
      </w:r>
    </w:p>
    <w:p w:rsidR="00124E89" w:rsidRDefault="004168DA">
      <w:pPr>
        <w:pStyle w:val="a4"/>
        <w:spacing w:line="500" w:lineRule="exact"/>
      </w:pPr>
      <w:r>
        <w:t>3</w:t>
      </w:r>
      <w:r>
        <w:t>、租赁业务的租金是如何构成的？可以用哪些方法计算租金？</w:t>
      </w:r>
    </w:p>
    <w:p w:rsidR="00124E89" w:rsidRDefault="004168DA">
      <w:pPr>
        <w:pStyle w:val="a4"/>
        <w:spacing w:line="500" w:lineRule="exact"/>
      </w:pPr>
      <w:r>
        <w:t>4</w:t>
      </w:r>
      <w:r>
        <w:t>、什么是最低租赁付款额？如何计算最低租赁付款额的现值？</w:t>
      </w:r>
    </w:p>
    <w:p w:rsidR="00124E89" w:rsidRDefault="004168DA">
      <w:pPr>
        <w:pStyle w:val="a4"/>
        <w:spacing w:line="500" w:lineRule="exact"/>
      </w:pPr>
      <w:r>
        <w:t>5</w:t>
      </w:r>
      <w:r>
        <w:t>、什么是或有租金？或有租金是否计入最低租赁付款额，为什么？</w:t>
      </w:r>
    </w:p>
    <w:p w:rsidR="00124E89" w:rsidRDefault="004168DA">
      <w:pPr>
        <w:pStyle w:val="a4"/>
        <w:spacing w:line="500" w:lineRule="exact"/>
      </w:pPr>
      <w:r>
        <w:t>6</w:t>
      </w:r>
      <w:r>
        <w:t>、融资租赁中，出租人的初始直接费如何核算？怎样核算更科学合理？</w:t>
      </w:r>
    </w:p>
    <w:p w:rsidR="00124E89" w:rsidRDefault="004168DA">
      <w:pPr>
        <w:pStyle w:val="a4"/>
        <w:spacing w:line="500" w:lineRule="exact"/>
      </w:pPr>
      <w:r>
        <w:t>7</w:t>
      </w:r>
      <w:r>
        <w:t>、承租人、出租人如何进行经营租赁的会计处理？</w:t>
      </w:r>
    </w:p>
    <w:p w:rsidR="00124E89" w:rsidRDefault="004168DA">
      <w:pPr>
        <w:pStyle w:val="a4"/>
        <w:spacing w:line="500" w:lineRule="exact"/>
      </w:pPr>
      <w:r>
        <w:t>8</w:t>
      </w:r>
      <w:r>
        <w:t>、承租人、出租人如何进行融资租赁的会计处理？</w:t>
      </w:r>
    </w:p>
    <w:p w:rsidR="00124E89" w:rsidRDefault="004168DA">
      <w:pPr>
        <w:pStyle w:val="a4"/>
        <w:spacing w:line="500" w:lineRule="exact"/>
      </w:pPr>
      <w:r>
        <w:t>9</w:t>
      </w:r>
      <w:r>
        <w:t>、什么是转租租赁和售后回租？交易双方存在哪些关系？如何进行会计处理？</w:t>
      </w:r>
    </w:p>
    <w:p w:rsidR="00124E89" w:rsidRDefault="004168DA">
      <w:pPr>
        <w:pStyle w:val="a4"/>
        <w:spacing w:line="500" w:lineRule="exact"/>
      </w:pPr>
      <w:r>
        <w:t>10</w:t>
      </w:r>
      <w:r>
        <w:t>、为什么会产生杠杆租赁？杠杆租赁有什么特点？应如何进行会计处理？</w:t>
      </w:r>
    </w:p>
    <w:p w:rsidR="00124E89" w:rsidRDefault="004168DA">
      <w:pPr>
        <w:pStyle w:val="a4"/>
        <w:spacing w:line="500" w:lineRule="exact"/>
        <w:ind w:firstLine="482"/>
        <w:jc w:val="center"/>
        <w:rPr>
          <w:b/>
          <w:bCs/>
        </w:rPr>
      </w:pPr>
      <w:r>
        <w:rPr>
          <w:b/>
          <w:bCs/>
        </w:rPr>
        <w:t>第六章</w:t>
      </w:r>
      <w:r>
        <w:rPr>
          <w:b/>
          <w:bCs/>
        </w:rPr>
        <w:t xml:space="preserve">  </w:t>
      </w:r>
      <w:r>
        <w:rPr>
          <w:b/>
          <w:bCs/>
        </w:rPr>
        <w:t>债务重组与破产清算</w:t>
      </w:r>
    </w:p>
    <w:p w:rsidR="00124E89" w:rsidRDefault="004168DA">
      <w:pPr>
        <w:pStyle w:val="a4"/>
        <w:spacing w:line="500" w:lineRule="exact"/>
      </w:pPr>
      <w:r>
        <w:t>第一节</w:t>
      </w:r>
      <w:r>
        <w:t xml:space="preserve"> </w:t>
      </w:r>
      <w:r>
        <w:t>债务重组</w:t>
      </w:r>
    </w:p>
    <w:p w:rsidR="00124E89" w:rsidRDefault="004168DA">
      <w:pPr>
        <w:pStyle w:val="a4"/>
        <w:spacing w:line="500" w:lineRule="exact"/>
      </w:pPr>
      <w:r>
        <w:t>1</w:t>
      </w:r>
      <w:r>
        <w:t>、债务重组的含义、特征及方式</w:t>
      </w:r>
    </w:p>
    <w:p w:rsidR="00124E89" w:rsidRDefault="004168DA">
      <w:pPr>
        <w:pStyle w:val="a4"/>
        <w:spacing w:line="500" w:lineRule="exact"/>
      </w:pPr>
      <w:r>
        <w:t>2</w:t>
      </w:r>
      <w:r>
        <w:t>、债务重组核算的要求</w:t>
      </w:r>
    </w:p>
    <w:p w:rsidR="00124E89" w:rsidRDefault="004168DA">
      <w:pPr>
        <w:pStyle w:val="a4"/>
        <w:spacing w:line="500" w:lineRule="exact"/>
      </w:pPr>
      <w:r>
        <w:lastRenderedPageBreak/>
        <w:t>3</w:t>
      </w:r>
      <w:r>
        <w:t>、债务重组的会计处理</w:t>
      </w:r>
    </w:p>
    <w:p w:rsidR="00124E89" w:rsidRDefault="004168DA">
      <w:pPr>
        <w:pStyle w:val="a4"/>
        <w:spacing w:line="500" w:lineRule="exact"/>
      </w:pPr>
      <w:r>
        <w:t>第二节</w:t>
      </w:r>
      <w:r>
        <w:t xml:space="preserve"> </w:t>
      </w:r>
      <w:r>
        <w:t>破产清算</w:t>
      </w:r>
    </w:p>
    <w:p w:rsidR="00124E89" w:rsidRDefault="004168DA">
      <w:pPr>
        <w:pStyle w:val="a4"/>
        <w:spacing w:line="500" w:lineRule="exact"/>
      </w:pPr>
      <w:r>
        <w:t>1</w:t>
      </w:r>
      <w:r>
        <w:t>、企业破产的含义与种类</w:t>
      </w:r>
    </w:p>
    <w:p w:rsidR="00124E89" w:rsidRDefault="004168DA">
      <w:pPr>
        <w:pStyle w:val="a4"/>
        <w:spacing w:line="500" w:lineRule="exact"/>
      </w:pPr>
      <w:r>
        <w:t>2</w:t>
      </w:r>
      <w:r>
        <w:t>、企业破产的基本程序</w:t>
      </w:r>
    </w:p>
    <w:p w:rsidR="00124E89" w:rsidRDefault="004168DA">
      <w:pPr>
        <w:pStyle w:val="a4"/>
        <w:spacing w:line="500" w:lineRule="exact"/>
      </w:pPr>
      <w:r>
        <w:t>3</w:t>
      </w:r>
      <w:r>
        <w:t>、破产清算会计的特点</w:t>
      </w:r>
    </w:p>
    <w:p w:rsidR="00124E89" w:rsidRDefault="004168DA">
      <w:pPr>
        <w:pStyle w:val="a4"/>
        <w:spacing w:line="500" w:lineRule="exact"/>
      </w:pPr>
      <w:r>
        <w:t>4</w:t>
      </w:r>
      <w:r>
        <w:t>、破产企业的会计处理</w:t>
      </w:r>
    </w:p>
    <w:p w:rsidR="00124E89" w:rsidRDefault="004168DA">
      <w:pPr>
        <w:pStyle w:val="a4"/>
        <w:spacing w:line="500" w:lineRule="exact"/>
      </w:pPr>
      <w:r>
        <w:t>5</w:t>
      </w:r>
      <w:r>
        <w:t>、破产管理人的会计处理</w:t>
      </w:r>
    </w:p>
    <w:p w:rsidR="00124E89" w:rsidRDefault="004168DA">
      <w:pPr>
        <w:pStyle w:val="a4"/>
        <w:spacing w:line="500" w:lineRule="exact"/>
      </w:pPr>
      <w:r>
        <w:t>教学重点难点：</w:t>
      </w:r>
    </w:p>
    <w:p w:rsidR="00124E89" w:rsidRDefault="004168DA">
      <w:pPr>
        <w:pStyle w:val="a4"/>
        <w:spacing w:line="500" w:lineRule="exact"/>
      </w:pPr>
      <w:r>
        <w:t>债务重组的含义和基本特征；债务重组的方式；债务重组核算的要求；不同债务重组方式下债务人和债权人的会计处理；企业破产的含义与分类；破产清算会计的特点；破产管理人的会计处理。</w:t>
      </w:r>
    </w:p>
    <w:p w:rsidR="00124E89" w:rsidRDefault="004168DA">
      <w:pPr>
        <w:pStyle w:val="a4"/>
        <w:spacing w:line="500" w:lineRule="exact"/>
      </w:pPr>
      <w:r>
        <w:t>课程的考核要求：</w:t>
      </w:r>
    </w:p>
    <w:p w:rsidR="00124E89" w:rsidRDefault="004168DA">
      <w:pPr>
        <w:pStyle w:val="a4"/>
        <w:spacing w:line="500" w:lineRule="exact"/>
      </w:pPr>
      <w:r>
        <w:t>了解：债务重组的含义核算要求；破产清算会计的特点。</w:t>
      </w:r>
    </w:p>
    <w:p w:rsidR="00124E89" w:rsidRDefault="004168DA">
      <w:pPr>
        <w:pStyle w:val="a4"/>
        <w:spacing w:line="500" w:lineRule="exact"/>
      </w:pPr>
      <w:r>
        <w:t>理解：债务重组的方式、债务重组的基本特征；企业破产的基本程序、破产财产的概念和内容、破产费用和共益债务的内容、破产企业破产财产清偿顺序。</w:t>
      </w:r>
    </w:p>
    <w:p w:rsidR="00124E89" w:rsidRDefault="004168DA">
      <w:pPr>
        <w:pStyle w:val="a4"/>
        <w:spacing w:line="500" w:lineRule="exact"/>
      </w:pPr>
      <w:r>
        <w:t>掌握：不同债务重组方式下的债权债务双方有关债务重组的会计处理；破产清算会计的特点、破产清算中破产管理人的会计处理。</w:t>
      </w:r>
    </w:p>
    <w:p w:rsidR="00124E89" w:rsidRDefault="004168DA">
      <w:pPr>
        <w:pStyle w:val="a4"/>
        <w:spacing w:line="500" w:lineRule="exact"/>
      </w:pPr>
      <w:r>
        <w:t>应用：利用债务重</w:t>
      </w:r>
      <w:r>
        <w:t>组基本理论和原理，进行各类债务重组的会计处理；利用破产清算会计的特点及原理，进行终止经营业务的会计处理。</w:t>
      </w:r>
    </w:p>
    <w:p w:rsidR="00124E89" w:rsidRDefault="004168DA">
      <w:pPr>
        <w:pStyle w:val="a4"/>
        <w:spacing w:line="500" w:lineRule="exact"/>
      </w:pPr>
      <w:r>
        <w:t>思政：偿债方式中，加入思政内容</w:t>
      </w:r>
    </w:p>
    <w:p w:rsidR="00124E89" w:rsidRDefault="004168DA">
      <w:pPr>
        <w:pStyle w:val="a4"/>
        <w:spacing w:line="500" w:lineRule="exact"/>
      </w:pPr>
      <w:r>
        <w:t>复习思考题</w:t>
      </w:r>
    </w:p>
    <w:p w:rsidR="00124E89" w:rsidRDefault="004168DA">
      <w:pPr>
        <w:pStyle w:val="a4"/>
        <w:spacing w:line="500" w:lineRule="exact"/>
      </w:pPr>
      <w:r>
        <w:t>1</w:t>
      </w:r>
      <w:r>
        <w:t>、债务重组的含义是什么。</w:t>
      </w:r>
    </w:p>
    <w:p w:rsidR="00124E89" w:rsidRDefault="004168DA">
      <w:pPr>
        <w:pStyle w:val="a4"/>
        <w:spacing w:line="500" w:lineRule="exact"/>
      </w:pPr>
      <w:r>
        <w:t>2</w:t>
      </w:r>
      <w:r>
        <w:t>、债务重组的方式主要有哪几种？</w:t>
      </w:r>
    </w:p>
    <w:p w:rsidR="00124E89" w:rsidRDefault="004168DA">
      <w:pPr>
        <w:pStyle w:val="a4"/>
        <w:spacing w:line="500" w:lineRule="exact"/>
      </w:pPr>
      <w:r>
        <w:t>3</w:t>
      </w:r>
      <w:r>
        <w:t>、如何对债务重组进行分类？</w:t>
      </w:r>
    </w:p>
    <w:p w:rsidR="00124E89" w:rsidRDefault="004168DA">
      <w:pPr>
        <w:pStyle w:val="a4"/>
        <w:spacing w:line="500" w:lineRule="exact"/>
      </w:pPr>
      <w:r>
        <w:t>4</w:t>
      </w:r>
      <w:r>
        <w:t>、在债务重组的不同方式下，债务人和债权人如何进行会计处理？</w:t>
      </w:r>
    </w:p>
    <w:p w:rsidR="00124E89" w:rsidRDefault="004168DA">
      <w:pPr>
        <w:pStyle w:val="a4"/>
        <w:spacing w:line="500" w:lineRule="exact"/>
      </w:pPr>
      <w:r>
        <w:lastRenderedPageBreak/>
        <w:t>5</w:t>
      </w:r>
      <w:r>
        <w:t>、破产清算会计的特点有哪些？</w:t>
      </w:r>
    </w:p>
    <w:p w:rsidR="00124E89" w:rsidRDefault="004168DA">
      <w:pPr>
        <w:pStyle w:val="a4"/>
        <w:spacing w:line="500" w:lineRule="exact"/>
      </w:pPr>
      <w:r>
        <w:t>6</w:t>
      </w:r>
      <w:r>
        <w:t>、破产企业如何进行资产清查及会计处理？</w:t>
      </w:r>
    </w:p>
    <w:p w:rsidR="00124E89" w:rsidRDefault="004168DA">
      <w:pPr>
        <w:pStyle w:val="a4"/>
        <w:spacing w:line="500" w:lineRule="exact"/>
      </w:pPr>
      <w:r>
        <w:t>7</w:t>
      </w:r>
      <w:r>
        <w:t>、破产费用与共益债务的联系和区别有哪些？</w:t>
      </w:r>
    </w:p>
    <w:p w:rsidR="00124E89" w:rsidRDefault="004168DA">
      <w:pPr>
        <w:pStyle w:val="a4"/>
        <w:spacing w:line="500" w:lineRule="exact"/>
      </w:pPr>
      <w:r>
        <w:t>8</w:t>
      </w:r>
      <w:r>
        <w:t>、破产清算中债务清偿顺序是怎样的？为什么？</w:t>
      </w:r>
    </w:p>
    <w:p w:rsidR="00124E89" w:rsidRDefault="004168DA">
      <w:pPr>
        <w:pStyle w:val="a4"/>
        <w:spacing w:line="500" w:lineRule="exact"/>
      </w:pPr>
      <w:r>
        <w:t>9</w:t>
      </w:r>
      <w:r>
        <w:t>、与持续经营企业会计比较，破产管理人的会计</w:t>
      </w:r>
      <w:r>
        <w:t>处理有何特点？</w:t>
      </w:r>
    </w:p>
    <w:p w:rsidR="00124E89" w:rsidRDefault="004168DA">
      <w:pPr>
        <w:pStyle w:val="a4"/>
        <w:spacing w:line="500" w:lineRule="exact"/>
      </w:pPr>
      <w:r>
        <w:t>10</w:t>
      </w:r>
      <w:r>
        <w:t>、破产清算会计报表的种类、格式是怎样的？为什么？</w:t>
      </w:r>
    </w:p>
    <w:p w:rsidR="00124E89" w:rsidRDefault="004168DA">
      <w:pPr>
        <w:spacing w:line="500" w:lineRule="exact"/>
        <w:jc w:val="center"/>
        <w:rPr>
          <w:b/>
          <w:bCs/>
          <w:sz w:val="24"/>
        </w:rPr>
      </w:pPr>
      <w:r>
        <w:rPr>
          <w:b/>
          <w:bCs/>
          <w:sz w:val="24"/>
        </w:rPr>
        <w:t>第七章</w:t>
      </w:r>
      <w:r>
        <w:rPr>
          <w:b/>
          <w:bCs/>
          <w:sz w:val="24"/>
        </w:rPr>
        <w:t xml:space="preserve"> </w:t>
      </w:r>
      <w:r>
        <w:rPr>
          <w:b/>
          <w:bCs/>
          <w:sz w:val="24"/>
        </w:rPr>
        <w:t>企业合并</w:t>
      </w:r>
    </w:p>
    <w:p w:rsidR="00124E89" w:rsidRDefault="004168DA">
      <w:pPr>
        <w:pStyle w:val="a4"/>
        <w:spacing w:line="500" w:lineRule="exact"/>
      </w:pPr>
      <w:r>
        <w:t>第一节</w:t>
      </w:r>
      <w:r>
        <w:t xml:space="preserve"> </w:t>
      </w:r>
      <w:r>
        <w:t>企业合并的含义及分类</w:t>
      </w:r>
    </w:p>
    <w:p w:rsidR="00124E89" w:rsidRDefault="004168DA">
      <w:pPr>
        <w:pStyle w:val="a4"/>
        <w:spacing w:line="500" w:lineRule="exact"/>
      </w:pPr>
      <w:r>
        <w:t>1</w:t>
      </w:r>
      <w:r>
        <w:t>、企业合并的含义</w:t>
      </w:r>
    </w:p>
    <w:p w:rsidR="00124E89" w:rsidRDefault="004168DA">
      <w:pPr>
        <w:pStyle w:val="a4"/>
        <w:spacing w:line="500" w:lineRule="exact"/>
      </w:pPr>
      <w:r>
        <w:t>2</w:t>
      </w:r>
      <w:r>
        <w:t>、企业合并的分类</w:t>
      </w:r>
    </w:p>
    <w:p w:rsidR="00124E89" w:rsidRDefault="004168DA">
      <w:pPr>
        <w:pStyle w:val="a4"/>
        <w:spacing w:line="500" w:lineRule="exact"/>
      </w:pPr>
      <w:r>
        <w:t>第二节</w:t>
      </w:r>
      <w:r>
        <w:t xml:space="preserve"> </w:t>
      </w:r>
      <w:r>
        <w:t>非同一控制的企业合并</w:t>
      </w:r>
    </w:p>
    <w:p w:rsidR="00124E89" w:rsidRDefault="004168DA">
      <w:pPr>
        <w:pStyle w:val="a4"/>
        <w:spacing w:line="500" w:lineRule="exact"/>
      </w:pPr>
      <w:r>
        <w:t>1</w:t>
      </w:r>
      <w:r>
        <w:t>、非同一控制企业合并的基本要求</w:t>
      </w:r>
    </w:p>
    <w:p w:rsidR="00124E89" w:rsidRDefault="004168DA">
      <w:pPr>
        <w:pStyle w:val="a4"/>
        <w:spacing w:line="500" w:lineRule="exact"/>
      </w:pPr>
      <w:r>
        <w:t>2</w:t>
      </w:r>
      <w:r>
        <w:t>、非同一控制的吸收合并</w:t>
      </w:r>
    </w:p>
    <w:p w:rsidR="00124E89" w:rsidRDefault="004168DA">
      <w:pPr>
        <w:pStyle w:val="a4"/>
        <w:spacing w:line="500" w:lineRule="exact"/>
      </w:pPr>
      <w:r>
        <w:t>3</w:t>
      </w:r>
      <w:r>
        <w:t>、非同一控制的控股合并</w:t>
      </w:r>
    </w:p>
    <w:p w:rsidR="00124E89" w:rsidRDefault="004168DA">
      <w:pPr>
        <w:pStyle w:val="a4"/>
        <w:spacing w:line="500" w:lineRule="exact"/>
      </w:pPr>
      <w:r>
        <w:t>第三节</w:t>
      </w:r>
      <w:r>
        <w:t xml:space="preserve"> </w:t>
      </w:r>
      <w:r>
        <w:t>同一控制的企业合并</w:t>
      </w:r>
    </w:p>
    <w:p w:rsidR="00124E89" w:rsidRDefault="004168DA">
      <w:pPr>
        <w:pStyle w:val="a4"/>
        <w:spacing w:line="500" w:lineRule="exact"/>
      </w:pPr>
      <w:r>
        <w:t>1</w:t>
      </w:r>
      <w:r>
        <w:t>、同一控制企业合并的特点</w:t>
      </w:r>
    </w:p>
    <w:p w:rsidR="00124E89" w:rsidRDefault="004168DA">
      <w:pPr>
        <w:pStyle w:val="a4"/>
        <w:spacing w:line="500" w:lineRule="exact"/>
      </w:pPr>
      <w:r>
        <w:t>2</w:t>
      </w:r>
      <w:r>
        <w:t>、同一控制的吸收合并</w:t>
      </w:r>
    </w:p>
    <w:p w:rsidR="00124E89" w:rsidRDefault="004168DA">
      <w:pPr>
        <w:pStyle w:val="a4"/>
        <w:spacing w:line="500" w:lineRule="exact"/>
      </w:pPr>
      <w:r>
        <w:t>3</w:t>
      </w:r>
      <w:r>
        <w:t>、同一控制的控股合并</w:t>
      </w:r>
    </w:p>
    <w:p w:rsidR="00124E89" w:rsidRDefault="004168DA">
      <w:pPr>
        <w:pStyle w:val="a4"/>
        <w:spacing w:line="500" w:lineRule="exact"/>
      </w:pPr>
      <w:r>
        <w:t>教学重点、难点：</w:t>
      </w:r>
    </w:p>
    <w:p w:rsidR="00124E89" w:rsidRDefault="004168DA">
      <w:pPr>
        <w:pStyle w:val="a4"/>
        <w:spacing w:line="500" w:lineRule="exact"/>
      </w:pPr>
      <w:r>
        <w:t>1</w:t>
      </w:r>
      <w:r>
        <w:t>、企业合并的含义</w:t>
      </w:r>
    </w:p>
    <w:p w:rsidR="00124E89" w:rsidRDefault="004168DA">
      <w:pPr>
        <w:pStyle w:val="a4"/>
        <w:spacing w:line="500" w:lineRule="exact"/>
      </w:pPr>
      <w:r>
        <w:t>2</w:t>
      </w:r>
      <w:r>
        <w:t>、同一控制合并与非同一控制合并的主要区别及原理</w:t>
      </w:r>
    </w:p>
    <w:p w:rsidR="00124E89" w:rsidRDefault="004168DA">
      <w:pPr>
        <w:pStyle w:val="a4"/>
        <w:spacing w:line="500" w:lineRule="exact"/>
      </w:pPr>
      <w:r>
        <w:t>3</w:t>
      </w:r>
      <w:r>
        <w:t>、同一控制合并与非同一控制合并中吸收合并的主要区别及原理</w:t>
      </w:r>
    </w:p>
    <w:p w:rsidR="00124E89" w:rsidRDefault="004168DA">
      <w:pPr>
        <w:pStyle w:val="a4"/>
        <w:spacing w:line="500" w:lineRule="exact"/>
      </w:pPr>
      <w:r>
        <w:t>4</w:t>
      </w:r>
      <w:r>
        <w:t>、同一控制合并与非同一控制合并中控股合并的主要区别及原理</w:t>
      </w:r>
    </w:p>
    <w:p w:rsidR="00124E89" w:rsidRDefault="004168DA">
      <w:pPr>
        <w:pStyle w:val="a4"/>
        <w:spacing w:line="500" w:lineRule="exact"/>
      </w:pPr>
      <w:r>
        <w:t>课程的考核要求：</w:t>
      </w:r>
    </w:p>
    <w:p w:rsidR="00124E89" w:rsidRDefault="004168DA">
      <w:pPr>
        <w:pStyle w:val="a4"/>
        <w:spacing w:line="500" w:lineRule="exact"/>
      </w:pPr>
      <w:r>
        <w:t>了解：企业合并的含义和方式；我国关于企业合并的规定。</w:t>
      </w:r>
    </w:p>
    <w:p w:rsidR="00124E89" w:rsidRDefault="004168DA">
      <w:pPr>
        <w:pStyle w:val="a4"/>
        <w:spacing w:line="500" w:lineRule="exact"/>
      </w:pPr>
      <w:r>
        <w:lastRenderedPageBreak/>
        <w:t>理解：同一控制合并与非同一控制合并的原理及其差异比较。</w:t>
      </w:r>
    </w:p>
    <w:p w:rsidR="00124E89" w:rsidRDefault="004168DA">
      <w:pPr>
        <w:pStyle w:val="a4"/>
        <w:spacing w:line="500" w:lineRule="exact"/>
      </w:pPr>
      <w:r>
        <w:t>掌握：同一控制合并与非同一控制合并的会计处理方法。</w:t>
      </w:r>
    </w:p>
    <w:p w:rsidR="00124E89" w:rsidRDefault="004168DA">
      <w:pPr>
        <w:pStyle w:val="a4"/>
        <w:spacing w:line="500" w:lineRule="exact"/>
      </w:pPr>
      <w:r>
        <w:t>应用：利用同一控制合并与非同一控制合并的基本原理，判断企业合并的性质，分析企业合并对企业会计信息披露的影响，把握企业合并中账面价值计量与公允价值计量的应用范围。</w:t>
      </w:r>
    </w:p>
    <w:p w:rsidR="00124E89" w:rsidRDefault="004168DA">
      <w:pPr>
        <w:pStyle w:val="a4"/>
        <w:spacing w:line="500" w:lineRule="exact"/>
      </w:pPr>
      <w:r>
        <w:t>思政：同一控制合并采用账面价值计量、非同一控制采用</w:t>
      </w:r>
      <w:r>
        <w:t>公允价值计量中，加入思政内容</w:t>
      </w:r>
    </w:p>
    <w:p w:rsidR="00124E89" w:rsidRDefault="004168DA">
      <w:pPr>
        <w:pStyle w:val="a4"/>
        <w:spacing w:line="500" w:lineRule="exact"/>
      </w:pPr>
      <w:r>
        <w:t>复习思考题：</w:t>
      </w:r>
    </w:p>
    <w:p w:rsidR="00124E89" w:rsidRDefault="004168DA">
      <w:pPr>
        <w:pStyle w:val="a4"/>
        <w:spacing w:line="500" w:lineRule="exact"/>
      </w:pPr>
      <w:r>
        <w:t>1</w:t>
      </w:r>
      <w:r>
        <w:t>、说明企业合并方式的分类、企业合并类型与企业合并会计处理方法的关系。</w:t>
      </w:r>
    </w:p>
    <w:p w:rsidR="00124E89" w:rsidRDefault="004168DA">
      <w:pPr>
        <w:pStyle w:val="a4"/>
        <w:spacing w:line="500" w:lineRule="exact"/>
      </w:pPr>
      <w:r>
        <w:t>2</w:t>
      </w:r>
      <w:r>
        <w:t>、简述非同一控制合并的特点、会计处理方法及应用条件。</w:t>
      </w:r>
    </w:p>
    <w:p w:rsidR="00124E89" w:rsidRDefault="004168DA">
      <w:pPr>
        <w:pStyle w:val="a4"/>
        <w:spacing w:line="500" w:lineRule="exact"/>
      </w:pPr>
      <w:r>
        <w:t>3</w:t>
      </w:r>
      <w:r>
        <w:t>、在非同一控制合并中，如何确定企业合并的购买成本、商誉或营业外收入？</w:t>
      </w:r>
    </w:p>
    <w:p w:rsidR="00124E89" w:rsidRDefault="004168DA">
      <w:pPr>
        <w:pStyle w:val="a4"/>
        <w:spacing w:line="500" w:lineRule="exact"/>
      </w:pPr>
      <w:r>
        <w:t>4</w:t>
      </w:r>
      <w:r>
        <w:t>、在同一控制合并中，实施合并企业发行在外的股份面值总和与参与合并企业的投入资本合计数不相等时，如何确定合并后所有者权益各项目的金额？</w:t>
      </w:r>
    </w:p>
    <w:p w:rsidR="00124E89" w:rsidRDefault="004168DA">
      <w:pPr>
        <w:pStyle w:val="a4"/>
        <w:spacing w:line="500" w:lineRule="exact"/>
      </w:pPr>
      <w:r>
        <w:t>5</w:t>
      </w:r>
      <w:r>
        <w:t>、通过同一控制合并与非同一控制合并的比较，说明权益结合法的应用条件受到严格限制的原因。</w:t>
      </w:r>
    </w:p>
    <w:p w:rsidR="00124E89" w:rsidRDefault="004168DA">
      <w:pPr>
        <w:pStyle w:val="a4"/>
        <w:spacing w:line="500" w:lineRule="exact"/>
        <w:ind w:firstLine="482"/>
        <w:jc w:val="center"/>
        <w:rPr>
          <w:b/>
          <w:bCs/>
        </w:rPr>
      </w:pPr>
      <w:r>
        <w:rPr>
          <w:b/>
          <w:bCs/>
        </w:rPr>
        <w:t>第八章</w:t>
      </w:r>
      <w:r>
        <w:rPr>
          <w:b/>
          <w:bCs/>
        </w:rPr>
        <w:t xml:space="preserve"> </w:t>
      </w:r>
      <w:r>
        <w:rPr>
          <w:b/>
          <w:bCs/>
        </w:rPr>
        <w:t>合并财务报表</w:t>
      </w:r>
    </w:p>
    <w:p w:rsidR="00124E89" w:rsidRDefault="004168DA">
      <w:pPr>
        <w:pStyle w:val="a4"/>
        <w:spacing w:line="500" w:lineRule="exact"/>
      </w:pPr>
      <w:r>
        <w:t>第一节</w:t>
      </w:r>
      <w:r>
        <w:t xml:space="preserve"> </w:t>
      </w:r>
      <w:r>
        <w:t>合并财务报表</w:t>
      </w:r>
      <w:r>
        <w:t>概述</w:t>
      </w:r>
    </w:p>
    <w:p w:rsidR="00124E89" w:rsidRDefault="004168DA">
      <w:pPr>
        <w:pStyle w:val="a4"/>
        <w:spacing w:line="500" w:lineRule="exact"/>
      </w:pPr>
      <w:r>
        <w:t>1</w:t>
      </w:r>
      <w:r>
        <w:t>、合并财务报表的性质与特点</w:t>
      </w:r>
    </w:p>
    <w:p w:rsidR="00124E89" w:rsidRDefault="004168DA">
      <w:pPr>
        <w:pStyle w:val="a4"/>
        <w:spacing w:line="500" w:lineRule="exact"/>
      </w:pPr>
      <w:r>
        <w:t>2</w:t>
      </w:r>
      <w:r>
        <w:t>、合并财务报表的合并理论</w:t>
      </w:r>
    </w:p>
    <w:p w:rsidR="00124E89" w:rsidRDefault="004168DA">
      <w:pPr>
        <w:pStyle w:val="a4"/>
        <w:spacing w:line="500" w:lineRule="exact"/>
      </w:pPr>
      <w:r>
        <w:t>3</w:t>
      </w:r>
      <w:r>
        <w:t>、合并财务报表的合并范围</w:t>
      </w:r>
    </w:p>
    <w:p w:rsidR="00124E89" w:rsidRDefault="004168DA">
      <w:pPr>
        <w:pStyle w:val="a4"/>
        <w:spacing w:line="500" w:lineRule="exact"/>
      </w:pPr>
      <w:r>
        <w:t>4</w:t>
      </w:r>
      <w:r>
        <w:t>、合并财务报表的种类与要求</w:t>
      </w:r>
    </w:p>
    <w:p w:rsidR="00124E89" w:rsidRDefault="004168DA">
      <w:pPr>
        <w:pStyle w:val="a4"/>
        <w:spacing w:line="500" w:lineRule="exact"/>
      </w:pPr>
      <w:r>
        <w:t>5</w:t>
      </w:r>
      <w:r>
        <w:t>、合并财务报表的编制程序</w:t>
      </w:r>
    </w:p>
    <w:p w:rsidR="00124E89" w:rsidRDefault="004168DA">
      <w:pPr>
        <w:pStyle w:val="a4"/>
        <w:spacing w:line="500" w:lineRule="exact"/>
      </w:pPr>
      <w:r>
        <w:t>第二节</w:t>
      </w:r>
      <w:r>
        <w:t xml:space="preserve"> </w:t>
      </w:r>
      <w:r>
        <w:t>购并日的合并财务报表</w:t>
      </w:r>
    </w:p>
    <w:p w:rsidR="00124E89" w:rsidRDefault="004168DA">
      <w:pPr>
        <w:pStyle w:val="a4"/>
        <w:spacing w:line="500" w:lineRule="exact"/>
      </w:pPr>
      <w:r>
        <w:t>1</w:t>
      </w:r>
      <w:r>
        <w:t>、购并日合并财务报表的特点</w:t>
      </w:r>
    </w:p>
    <w:p w:rsidR="00124E89" w:rsidRDefault="004168DA">
      <w:pPr>
        <w:pStyle w:val="a4"/>
        <w:spacing w:line="500" w:lineRule="exact"/>
      </w:pPr>
      <w:r>
        <w:t>2</w:t>
      </w:r>
      <w:r>
        <w:t>、非同一控制合并的合并财务报表</w:t>
      </w:r>
    </w:p>
    <w:p w:rsidR="00124E89" w:rsidRDefault="004168DA">
      <w:pPr>
        <w:pStyle w:val="a4"/>
        <w:spacing w:line="500" w:lineRule="exact"/>
      </w:pPr>
      <w:r>
        <w:lastRenderedPageBreak/>
        <w:t>3</w:t>
      </w:r>
      <w:r>
        <w:t>、同一控制合并的合并财务报表</w:t>
      </w:r>
    </w:p>
    <w:p w:rsidR="00124E89" w:rsidRDefault="004168DA">
      <w:pPr>
        <w:pStyle w:val="a4"/>
        <w:spacing w:line="500" w:lineRule="exact"/>
      </w:pPr>
      <w:r>
        <w:t>第三节</w:t>
      </w:r>
      <w:r>
        <w:t xml:space="preserve"> </w:t>
      </w:r>
      <w:r>
        <w:t>购并当年的合并财务报表</w:t>
      </w:r>
    </w:p>
    <w:p w:rsidR="00124E89" w:rsidRDefault="004168DA">
      <w:pPr>
        <w:pStyle w:val="a4"/>
        <w:spacing w:line="500" w:lineRule="exact"/>
      </w:pPr>
      <w:r>
        <w:t>1</w:t>
      </w:r>
      <w:r>
        <w:t>、</w:t>
      </w:r>
      <w:r>
        <w:t>子公司个别财务报表的调整</w:t>
      </w:r>
    </w:p>
    <w:p w:rsidR="00124E89" w:rsidRDefault="004168DA">
      <w:pPr>
        <w:pStyle w:val="a4"/>
        <w:spacing w:line="500" w:lineRule="exact"/>
      </w:pPr>
      <w:r>
        <w:t>2</w:t>
      </w:r>
      <w:r>
        <w:t>、</w:t>
      </w:r>
      <w:r>
        <w:t>子公司长期股权投资的调整</w:t>
      </w:r>
    </w:p>
    <w:p w:rsidR="00124E89" w:rsidRDefault="004168DA">
      <w:pPr>
        <w:pStyle w:val="a4"/>
        <w:spacing w:line="500" w:lineRule="exact"/>
      </w:pPr>
      <w:r>
        <w:t>3</w:t>
      </w:r>
      <w:r>
        <w:t>、相关项目的抵销</w:t>
      </w:r>
    </w:p>
    <w:p w:rsidR="00124E89" w:rsidRDefault="004168DA">
      <w:pPr>
        <w:pStyle w:val="a4"/>
        <w:spacing w:line="500" w:lineRule="exact"/>
      </w:pPr>
      <w:r>
        <w:t>第四节</w:t>
      </w:r>
      <w:r>
        <w:t xml:space="preserve"> </w:t>
      </w:r>
      <w:r>
        <w:t>购并第二年以后的合并财务报表</w:t>
      </w:r>
    </w:p>
    <w:p w:rsidR="00124E89" w:rsidRDefault="004168DA">
      <w:pPr>
        <w:pStyle w:val="a4"/>
        <w:spacing w:line="500" w:lineRule="exact"/>
      </w:pPr>
      <w:r>
        <w:t>1</w:t>
      </w:r>
      <w:r>
        <w:t>、母公司长期股权投资与子公司所有者权益的抵销</w:t>
      </w:r>
    </w:p>
    <w:p w:rsidR="00124E89" w:rsidRDefault="004168DA">
      <w:pPr>
        <w:pStyle w:val="a4"/>
        <w:spacing w:line="500" w:lineRule="exact"/>
      </w:pPr>
      <w:r>
        <w:t>2</w:t>
      </w:r>
      <w:r>
        <w:t>、内部债权与债务的抵销</w:t>
      </w:r>
    </w:p>
    <w:p w:rsidR="00124E89" w:rsidRDefault="004168DA">
      <w:pPr>
        <w:pStyle w:val="a4"/>
        <w:spacing w:line="500" w:lineRule="exact"/>
      </w:pPr>
      <w:r>
        <w:t>3</w:t>
      </w:r>
      <w:r>
        <w:t>、内部销售商品业务及有关存货的抵销</w:t>
      </w:r>
    </w:p>
    <w:p w:rsidR="00124E89" w:rsidRDefault="004168DA">
      <w:pPr>
        <w:pStyle w:val="a4"/>
        <w:spacing w:line="500" w:lineRule="exact"/>
      </w:pPr>
      <w:r>
        <w:t>4</w:t>
      </w:r>
      <w:r>
        <w:t>、内部固定资产交易的抵销</w:t>
      </w:r>
    </w:p>
    <w:p w:rsidR="00124E89" w:rsidRDefault="004168DA">
      <w:pPr>
        <w:pStyle w:val="a4"/>
        <w:spacing w:line="500" w:lineRule="exact"/>
      </w:pPr>
      <w:r>
        <w:t>5</w:t>
      </w:r>
      <w:r>
        <w:t>、母公司与子公司、子公司相互之间持有对方长期股权投资的投资收益的抵销</w:t>
      </w:r>
    </w:p>
    <w:p w:rsidR="00124E89" w:rsidRDefault="004168DA">
      <w:pPr>
        <w:pStyle w:val="a4"/>
        <w:spacing w:line="500" w:lineRule="exact"/>
      </w:pPr>
      <w:r>
        <w:t>第五节</w:t>
      </w:r>
      <w:r>
        <w:t xml:space="preserve"> </w:t>
      </w:r>
      <w:r>
        <w:t>合并财务报表的特殊问题</w:t>
      </w:r>
    </w:p>
    <w:p w:rsidR="00124E89" w:rsidRDefault="004168DA">
      <w:pPr>
        <w:pStyle w:val="a4"/>
        <w:spacing w:line="500" w:lineRule="exact"/>
      </w:pPr>
      <w:r>
        <w:t>1</w:t>
      </w:r>
      <w:r>
        <w:t>、母公司购入和出售子公司股份</w:t>
      </w:r>
    </w:p>
    <w:p w:rsidR="00124E89" w:rsidRDefault="004168DA">
      <w:pPr>
        <w:pStyle w:val="a4"/>
        <w:spacing w:line="500" w:lineRule="exact"/>
      </w:pPr>
      <w:r>
        <w:t>2</w:t>
      </w:r>
      <w:r>
        <w:t>、子公司增发股票和分配股票股利</w:t>
      </w:r>
    </w:p>
    <w:p w:rsidR="00124E89" w:rsidRDefault="004168DA">
      <w:pPr>
        <w:pStyle w:val="a4"/>
        <w:spacing w:line="500" w:lineRule="exact"/>
      </w:pPr>
      <w:r>
        <w:t>3</w:t>
      </w:r>
      <w:r>
        <w:t>、间接控股与相互持股</w:t>
      </w:r>
    </w:p>
    <w:p w:rsidR="00124E89" w:rsidRDefault="004168DA">
      <w:pPr>
        <w:pStyle w:val="a4"/>
        <w:spacing w:line="500" w:lineRule="exact"/>
      </w:pPr>
      <w:r>
        <w:t>4</w:t>
      </w:r>
      <w:r>
        <w:t>、关联方交易价格显失公允时内部交易的抵销处理</w:t>
      </w:r>
    </w:p>
    <w:p w:rsidR="00124E89" w:rsidRDefault="004168DA">
      <w:pPr>
        <w:pStyle w:val="a4"/>
        <w:spacing w:line="500" w:lineRule="exact"/>
      </w:pPr>
      <w:r>
        <w:t>教学重点、难点：</w:t>
      </w:r>
    </w:p>
    <w:p w:rsidR="00124E89" w:rsidRDefault="004168DA">
      <w:pPr>
        <w:pStyle w:val="a4"/>
        <w:spacing w:line="500" w:lineRule="exact"/>
      </w:pPr>
      <w:r>
        <w:t>购并日合并会计报表的编制方法；长期股权投资投资收益核算的权益法；母公司对子公司长期股权投资的处理；企业集团内部抵消的处理。</w:t>
      </w:r>
    </w:p>
    <w:p w:rsidR="00124E89" w:rsidRDefault="004168DA">
      <w:pPr>
        <w:pStyle w:val="a4"/>
        <w:spacing w:line="500" w:lineRule="exact"/>
      </w:pPr>
      <w:r>
        <w:t>课程的考核要求：</w:t>
      </w:r>
    </w:p>
    <w:p w:rsidR="00124E89" w:rsidRDefault="004168DA">
      <w:pPr>
        <w:pStyle w:val="a4"/>
        <w:spacing w:line="500" w:lineRule="exact"/>
      </w:pPr>
      <w:r>
        <w:t>了解：购并日合并会计报表的编制；合并会计报表的特殊问题。</w:t>
      </w:r>
    </w:p>
    <w:p w:rsidR="00124E89" w:rsidRDefault="004168DA">
      <w:pPr>
        <w:pStyle w:val="a4"/>
        <w:spacing w:line="500" w:lineRule="exact"/>
      </w:pPr>
      <w:r>
        <w:t>理解：集团内部交易和事项的抵销原理。</w:t>
      </w:r>
    </w:p>
    <w:p w:rsidR="00124E89" w:rsidRDefault="004168DA">
      <w:pPr>
        <w:pStyle w:val="a4"/>
        <w:spacing w:line="500" w:lineRule="exact"/>
      </w:pPr>
      <w:r>
        <w:t>掌握：购并当年及第二年以后合并会计报表的编制方法。</w:t>
      </w:r>
    </w:p>
    <w:p w:rsidR="00124E89" w:rsidRDefault="004168DA">
      <w:pPr>
        <w:pStyle w:val="a4"/>
        <w:spacing w:line="500" w:lineRule="exact"/>
      </w:pPr>
      <w:r>
        <w:t>应用：应用企业合并报表编制的基本原理和方法，解决现实中企业集团的下列问题：母公司对子公司长期股权投资的抵销处理；集团内部债权债务的抵销处理；</w:t>
      </w:r>
      <w:r>
        <w:lastRenderedPageBreak/>
        <w:t>集团内部存货交易的抵销处理；集团内部固定资产交易的抵销处理。</w:t>
      </w:r>
    </w:p>
    <w:p w:rsidR="00124E89" w:rsidRDefault="004168DA">
      <w:pPr>
        <w:pStyle w:val="a4"/>
        <w:spacing w:line="500" w:lineRule="exact"/>
      </w:pPr>
      <w:r>
        <w:t>思政：合并范围中，加入思政内容</w:t>
      </w:r>
    </w:p>
    <w:p w:rsidR="00124E89" w:rsidRDefault="004168DA">
      <w:pPr>
        <w:pStyle w:val="a4"/>
        <w:spacing w:line="500" w:lineRule="exact"/>
      </w:pPr>
      <w:r>
        <w:t>复习思考题：</w:t>
      </w:r>
    </w:p>
    <w:p w:rsidR="00124E89" w:rsidRDefault="004168DA">
      <w:pPr>
        <w:pStyle w:val="a4"/>
        <w:spacing w:line="500" w:lineRule="exact"/>
      </w:pPr>
      <w:r>
        <w:t>1</w:t>
      </w:r>
      <w:r>
        <w:t>、说明合并会计报表的合并范围、合并的要求。</w:t>
      </w:r>
    </w:p>
    <w:p w:rsidR="00124E89" w:rsidRDefault="004168DA">
      <w:pPr>
        <w:pStyle w:val="a4"/>
        <w:spacing w:line="500" w:lineRule="exact"/>
      </w:pPr>
      <w:r>
        <w:t>2</w:t>
      </w:r>
      <w:r>
        <w:t>、说明在纳入合并范围的子公司为非全资子公司时，如何确认计算少数股东权益。</w:t>
      </w:r>
    </w:p>
    <w:p w:rsidR="00124E89" w:rsidRDefault="004168DA">
      <w:pPr>
        <w:pStyle w:val="a4"/>
        <w:spacing w:line="500" w:lineRule="exact"/>
      </w:pPr>
      <w:r>
        <w:t>3</w:t>
      </w:r>
      <w:r>
        <w:t>、编制购并日当年及以后各期合并会计报表时，应在合并工作底稿中抵销哪些内部交易事项？</w:t>
      </w:r>
    </w:p>
    <w:p w:rsidR="00124E89" w:rsidRDefault="004168DA">
      <w:pPr>
        <w:pStyle w:val="a4"/>
        <w:spacing w:line="500" w:lineRule="exact"/>
      </w:pPr>
      <w:r>
        <w:t>4</w:t>
      </w:r>
      <w:r>
        <w:t>、纳入合并范围的子公司为母公司的非全资子公司时，哪些抵销项目要确认少数股东权益、少数股东损益和少数股东份额？</w:t>
      </w:r>
    </w:p>
    <w:p w:rsidR="00124E89" w:rsidRDefault="004168DA">
      <w:pPr>
        <w:pStyle w:val="a4"/>
        <w:spacing w:line="500" w:lineRule="exact"/>
      </w:pPr>
      <w:r>
        <w:t>5</w:t>
      </w:r>
      <w:r>
        <w:t>、在编制购并第二年以后合并会计报表时，哪些抵销项目涉及跨年度连续编报时需要调整期初留存收益？</w:t>
      </w:r>
    </w:p>
    <w:p w:rsidR="00124E89" w:rsidRDefault="004168DA">
      <w:pPr>
        <w:pStyle w:val="a4"/>
        <w:spacing w:line="500" w:lineRule="exact"/>
      </w:pPr>
      <w:r>
        <w:t>6</w:t>
      </w:r>
      <w:r>
        <w:t>、</w:t>
      </w:r>
      <w:r>
        <w:t>编制首期合并报表和连续各期合并报表的主要区别是什么？</w:t>
      </w:r>
    </w:p>
    <w:p w:rsidR="00124E89" w:rsidRDefault="004168DA">
      <w:pPr>
        <w:pStyle w:val="a4"/>
        <w:spacing w:line="500" w:lineRule="exact"/>
        <w:ind w:firstLine="482"/>
        <w:jc w:val="center"/>
        <w:rPr>
          <w:b/>
          <w:bCs/>
        </w:rPr>
      </w:pPr>
      <w:r>
        <w:rPr>
          <w:b/>
          <w:bCs/>
        </w:rPr>
        <w:t>第九章</w:t>
      </w:r>
      <w:r>
        <w:rPr>
          <w:b/>
          <w:bCs/>
        </w:rPr>
        <w:t xml:space="preserve"> </w:t>
      </w:r>
      <w:r>
        <w:rPr>
          <w:b/>
          <w:bCs/>
        </w:rPr>
        <w:t>会计信息披露</w:t>
      </w:r>
    </w:p>
    <w:p w:rsidR="00124E89" w:rsidRDefault="004168DA">
      <w:pPr>
        <w:pStyle w:val="a4"/>
        <w:spacing w:line="500" w:lineRule="exact"/>
      </w:pPr>
      <w:r>
        <w:t>第一节</w:t>
      </w:r>
      <w:r>
        <w:t xml:space="preserve"> </w:t>
      </w:r>
      <w:r>
        <w:t>上市公司信息披露的意义和基本框架</w:t>
      </w:r>
    </w:p>
    <w:p w:rsidR="00124E89" w:rsidRDefault="004168DA">
      <w:pPr>
        <w:pStyle w:val="a4"/>
        <w:spacing w:line="500" w:lineRule="exact"/>
      </w:pPr>
      <w:r>
        <w:t>1</w:t>
      </w:r>
      <w:r>
        <w:t>、上市公司与信息披</w:t>
      </w:r>
      <w:r>
        <w:t>露</w:t>
      </w:r>
    </w:p>
    <w:p w:rsidR="00124E89" w:rsidRDefault="004168DA">
      <w:pPr>
        <w:pStyle w:val="a4"/>
        <w:spacing w:line="500" w:lineRule="exact"/>
      </w:pPr>
      <w:r>
        <w:t>2</w:t>
      </w:r>
      <w:r>
        <w:t>、上市公司信息的质量特征</w:t>
      </w:r>
    </w:p>
    <w:p w:rsidR="00124E89" w:rsidRDefault="004168DA">
      <w:pPr>
        <w:pStyle w:val="a4"/>
        <w:spacing w:line="500" w:lineRule="exact"/>
      </w:pPr>
      <w:r>
        <w:t>3</w:t>
      </w:r>
      <w:r>
        <w:t>、上市公司信息披露的意义</w:t>
      </w:r>
    </w:p>
    <w:p w:rsidR="00124E89" w:rsidRDefault="004168DA">
      <w:pPr>
        <w:pStyle w:val="a4"/>
        <w:spacing w:line="500" w:lineRule="exact"/>
      </w:pPr>
      <w:r>
        <w:t>4</w:t>
      </w:r>
      <w:r>
        <w:t>、上市公司信息披露的基本框架</w:t>
      </w:r>
    </w:p>
    <w:p w:rsidR="00124E89" w:rsidRDefault="004168DA">
      <w:pPr>
        <w:pStyle w:val="a4"/>
        <w:spacing w:line="500" w:lineRule="exact"/>
      </w:pPr>
      <w:r>
        <w:t>第二节</w:t>
      </w:r>
      <w:r>
        <w:t xml:space="preserve"> </w:t>
      </w:r>
      <w:r>
        <w:t>分部报告</w:t>
      </w:r>
    </w:p>
    <w:p w:rsidR="00124E89" w:rsidRDefault="004168DA">
      <w:pPr>
        <w:pStyle w:val="a4"/>
        <w:spacing w:line="500" w:lineRule="exact"/>
      </w:pPr>
      <w:r>
        <w:t>1</w:t>
      </w:r>
      <w:r>
        <w:t>、分部报告的意义及其要求</w:t>
      </w:r>
    </w:p>
    <w:p w:rsidR="00124E89" w:rsidRDefault="004168DA">
      <w:pPr>
        <w:pStyle w:val="a4"/>
        <w:spacing w:line="500" w:lineRule="exact"/>
      </w:pPr>
      <w:r>
        <w:t>2</w:t>
      </w:r>
      <w:r>
        <w:t>、确定分部报告的标准</w:t>
      </w:r>
    </w:p>
    <w:p w:rsidR="00124E89" w:rsidRDefault="004168DA">
      <w:pPr>
        <w:pStyle w:val="a4"/>
        <w:spacing w:line="500" w:lineRule="exact"/>
      </w:pPr>
      <w:r>
        <w:t>3</w:t>
      </w:r>
      <w:r>
        <w:t>、不同行业经营的信息披露</w:t>
      </w:r>
    </w:p>
    <w:p w:rsidR="00124E89" w:rsidRDefault="004168DA">
      <w:pPr>
        <w:pStyle w:val="a4"/>
        <w:spacing w:line="500" w:lineRule="exact"/>
      </w:pPr>
      <w:r>
        <w:t>4</w:t>
      </w:r>
      <w:r>
        <w:t>、不同地区经营的信息披露</w:t>
      </w:r>
    </w:p>
    <w:p w:rsidR="00124E89" w:rsidRDefault="004168DA">
      <w:pPr>
        <w:pStyle w:val="a4"/>
        <w:spacing w:line="500" w:lineRule="exact"/>
      </w:pPr>
      <w:r>
        <w:t>第三节</w:t>
      </w:r>
      <w:r>
        <w:t xml:space="preserve"> </w:t>
      </w:r>
      <w:r>
        <w:t>中期报告</w:t>
      </w:r>
    </w:p>
    <w:p w:rsidR="00124E89" w:rsidRDefault="004168DA">
      <w:pPr>
        <w:pStyle w:val="a4"/>
        <w:spacing w:line="500" w:lineRule="exact"/>
      </w:pPr>
      <w:r>
        <w:lastRenderedPageBreak/>
        <w:t>1</w:t>
      </w:r>
      <w:r>
        <w:t>、编制中期报告的理论</w:t>
      </w:r>
    </w:p>
    <w:p w:rsidR="00124E89" w:rsidRDefault="004168DA">
      <w:pPr>
        <w:pStyle w:val="a4"/>
        <w:spacing w:line="500" w:lineRule="exact"/>
      </w:pPr>
      <w:r>
        <w:t>2</w:t>
      </w:r>
      <w:r>
        <w:t>、中期报告的内容</w:t>
      </w:r>
    </w:p>
    <w:p w:rsidR="00124E89" w:rsidRDefault="004168DA">
      <w:pPr>
        <w:pStyle w:val="a4"/>
        <w:spacing w:line="500" w:lineRule="exact"/>
      </w:pPr>
      <w:r>
        <w:t>3</w:t>
      </w:r>
      <w:r>
        <w:t>、中期报告的会计变更</w:t>
      </w:r>
    </w:p>
    <w:p w:rsidR="00124E89" w:rsidRDefault="004168DA">
      <w:pPr>
        <w:pStyle w:val="a4"/>
        <w:spacing w:line="500" w:lineRule="exact"/>
      </w:pPr>
      <w:r>
        <w:t>第四节</w:t>
      </w:r>
      <w:r>
        <w:t xml:space="preserve"> </w:t>
      </w:r>
      <w:r>
        <w:t>关联方关系及其交易的披露</w:t>
      </w:r>
    </w:p>
    <w:p w:rsidR="00124E89" w:rsidRDefault="004168DA">
      <w:pPr>
        <w:pStyle w:val="a4"/>
        <w:spacing w:line="500" w:lineRule="exact"/>
      </w:pPr>
      <w:r>
        <w:t>1</w:t>
      </w:r>
      <w:r>
        <w:t>、关联方关系的判断</w:t>
      </w:r>
    </w:p>
    <w:p w:rsidR="00124E89" w:rsidRDefault="004168DA">
      <w:pPr>
        <w:pStyle w:val="a4"/>
        <w:spacing w:line="500" w:lineRule="exact"/>
      </w:pPr>
      <w:r>
        <w:t>2</w:t>
      </w:r>
      <w:r>
        <w:t>、关联方交易的类型</w:t>
      </w:r>
    </w:p>
    <w:p w:rsidR="00124E89" w:rsidRDefault="004168DA">
      <w:pPr>
        <w:pStyle w:val="a4"/>
        <w:spacing w:line="500" w:lineRule="exact"/>
      </w:pPr>
      <w:r>
        <w:t>3</w:t>
      </w:r>
      <w:r>
        <w:t>、关联方关系披露的原则</w:t>
      </w:r>
    </w:p>
    <w:p w:rsidR="00124E89" w:rsidRDefault="004168DA">
      <w:pPr>
        <w:pStyle w:val="a4"/>
        <w:spacing w:line="500" w:lineRule="exact"/>
      </w:pPr>
      <w:r>
        <w:t>4</w:t>
      </w:r>
      <w:r>
        <w:t>、关联方交易的披露原则</w:t>
      </w:r>
    </w:p>
    <w:p w:rsidR="00124E89" w:rsidRDefault="004168DA">
      <w:pPr>
        <w:pStyle w:val="a4"/>
        <w:spacing w:line="500" w:lineRule="exact"/>
      </w:pPr>
      <w:r>
        <w:t>教学重点、难点：</w:t>
      </w:r>
    </w:p>
    <w:p w:rsidR="00124E89" w:rsidRDefault="004168DA">
      <w:pPr>
        <w:pStyle w:val="a4"/>
        <w:spacing w:line="500" w:lineRule="exact"/>
      </w:pPr>
      <w:r>
        <w:t>上市公司信息披露的基本框架；分部报告的编制意义及其确定分部报告的标准；中期报告的编制意义；关联方关系的判断。</w:t>
      </w:r>
    </w:p>
    <w:p w:rsidR="00124E89" w:rsidRDefault="004168DA">
      <w:pPr>
        <w:pStyle w:val="a4"/>
        <w:spacing w:line="500" w:lineRule="exact"/>
      </w:pPr>
      <w:r>
        <w:t>课程的考核要求：</w:t>
      </w:r>
    </w:p>
    <w:p w:rsidR="00124E89" w:rsidRDefault="004168DA">
      <w:pPr>
        <w:pStyle w:val="a4"/>
        <w:spacing w:line="500" w:lineRule="exact"/>
      </w:pPr>
      <w:r>
        <w:t>了解：会计信息的质量特征；分部报告的要求和形式；中期的含义；中期财务报告的编制理论。</w:t>
      </w:r>
    </w:p>
    <w:p w:rsidR="00124E89" w:rsidRDefault="004168DA">
      <w:pPr>
        <w:pStyle w:val="a4"/>
        <w:spacing w:line="500" w:lineRule="exact"/>
      </w:pPr>
      <w:r>
        <w:t>理解：会计信息披露的意义；编制分部报告和中期报告的意义。</w:t>
      </w:r>
    </w:p>
    <w:p w:rsidR="00124E89" w:rsidRDefault="004168DA">
      <w:pPr>
        <w:pStyle w:val="a4"/>
        <w:spacing w:line="500" w:lineRule="exact"/>
      </w:pPr>
      <w:r>
        <w:t>掌握：会计信息披露的基本框架；报告分部的确定和分部报告披露的内容；中期财务报告的主要内容、编制方法和原则；关联方交易的类型；关联方关系和关联方交易的披露原则。</w:t>
      </w:r>
    </w:p>
    <w:p w:rsidR="00124E89" w:rsidRDefault="004168DA">
      <w:pPr>
        <w:pStyle w:val="a4"/>
        <w:spacing w:line="500" w:lineRule="exact"/>
      </w:pPr>
      <w:r>
        <w:t>应用：运用会计信息披露的相关理论和方法，进行关联方关系的判断，提出优化会计信息披</w:t>
      </w:r>
      <w:r>
        <w:t>露的改进建议。</w:t>
      </w:r>
    </w:p>
    <w:p w:rsidR="00124E89" w:rsidRDefault="004168DA">
      <w:pPr>
        <w:pStyle w:val="a4"/>
        <w:spacing w:line="500" w:lineRule="exact"/>
      </w:pPr>
      <w:r>
        <w:t>思政：分部报告中，加入思政内容</w:t>
      </w:r>
    </w:p>
    <w:p w:rsidR="00124E89" w:rsidRDefault="004168DA">
      <w:pPr>
        <w:pStyle w:val="a4"/>
        <w:spacing w:line="500" w:lineRule="exact"/>
      </w:pPr>
      <w:r>
        <w:t>复习思考题</w:t>
      </w:r>
      <w:r>
        <w:tab/>
      </w:r>
    </w:p>
    <w:p w:rsidR="00124E89" w:rsidRDefault="004168DA">
      <w:pPr>
        <w:pStyle w:val="a4"/>
        <w:spacing w:line="500" w:lineRule="exact"/>
      </w:pPr>
      <w:r>
        <w:t>1</w:t>
      </w:r>
      <w:r>
        <w:t>、试述上市公司信息披露的基本框架。</w:t>
      </w:r>
    </w:p>
    <w:p w:rsidR="00124E89" w:rsidRDefault="004168DA">
      <w:pPr>
        <w:pStyle w:val="a4"/>
        <w:spacing w:line="500" w:lineRule="exact"/>
      </w:pPr>
      <w:r>
        <w:t>2</w:t>
      </w:r>
      <w:r>
        <w:t>、为什么上市公司要进行分部报告？</w:t>
      </w:r>
    </w:p>
    <w:p w:rsidR="00124E89" w:rsidRDefault="004168DA">
      <w:pPr>
        <w:pStyle w:val="a4"/>
        <w:spacing w:line="500" w:lineRule="exact"/>
      </w:pPr>
      <w:r>
        <w:t>3</w:t>
      </w:r>
      <w:r>
        <w:t>、简述分部报告的确认标准。</w:t>
      </w:r>
    </w:p>
    <w:p w:rsidR="00124E89" w:rsidRDefault="004168DA">
      <w:pPr>
        <w:pStyle w:val="a4"/>
        <w:spacing w:line="500" w:lineRule="exact"/>
      </w:pPr>
      <w:r>
        <w:lastRenderedPageBreak/>
        <w:t>4</w:t>
      </w:r>
      <w:r>
        <w:t>、简述中期财务报告的编制理论。</w:t>
      </w:r>
    </w:p>
    <w:p w:rsidR="00124E89" w:rsidRDefault="004168DA">
      <w:pPr>
        <w:pStyle w:val="a4"/>
        <w:spacing w:line="500" w:lineRule="exact"/>
      </w:pPr>
      <w:r>
        <w:t>5</w:t>
      </w:r>
      <w:r>
        <w:t>、如何进行关联方关系的判断。</w:t>
      </w:r>
    </w:p>
    <w:p w:rsidR="00124E89" w:rsidRDefault="004168DA">
      <w:pPr>
        <w:pStyle w:val="a4"/>
        <w:spacing w:line="500" w:lineRule="exact"/>
      </w:pPr>
      <w:r>
        <w:t>6</w:t>
      </w:r>
      <w:r>
        <w:t>、在会计报表附注中如何进行关联方关系和关联方交易的披露？</w:t>
      </w:r>
    </w:p>
    <w:p w:rsidR="00124E89" w:rsidRDefault="004168DA">
      <w:pPr>
        <w:spacing w:line="500" w:lineRule="exact"/>
        <w:ind w:firstLineChars="175" w:firstLine="420"/>
        <w:rPr>
          <w:rFonts w:eastAsia="黑体"/>
          <w:bCs/>
          <w:sz w:val="24"/>
          <w:szCs w:val="32"/>
        </w:rPr>
      </w:pPr>
      <w:r>
        <w:rPr>
          <w:rFonts w:eastAsia="黑体"/>
          <w:bCs/>
          <w:sz w:val="24"/>
          <w:szCs w:val="32"/>
        </w:rPr>
        <w:t>五、考核方式、成绩评定</w:t>
      </w:r>
    </w:p>
    <w:p w:rsidR="00124E89" w:rsidRDefault="004168DA">
      <w:pPr>
        <w:pStyle w:val="a4"/>
        <w:spacing w:line="500" w:lineRule="exact"/>
      </w:pPr>
      <w:r>
        <w:t>课程考核方式：平时考勤、作业和测验等平时成绩占</w:t>
      </w:r>
      <w:r>
        <w:t>50</w:t>
      </w:r>
      <w:r>
        <w:t>分，期末考试采用开卷方式，期末成绩占</w:t>
      </w:r>
      <w:r>
        <w:t>50</w:t>
      </w:r>
      <w:r>
        <w:t>分，总分</w:t>
      </w:r>
      <w:r>
        <w:t>100</w:t>
      </w:r>
      <w:r>
        <w:t>分。</w:t>
      </w:r>
    </w:p>
    <w:p w:rsidR="00124E89" w:rsidRDefault="004168DA">
      <w:pPr>
        <w:spacing w:line="500" w:lineRule="exact"/>
        <w:ind w:firstLineChars="175" w:firstLine="420"/>
        <w:rPr>
          <w:rFonts w:eastAsia="黑体"/>
          <w:bCs/>
          <w:sz w:val="24"/>
          <w:szCs w:val="32"/>
        </w:rPr>
      </w:pPr>
      <w:r>
        <w:rPr>
          <w:rFonts w:eastAsia="黑体"/>
          <w:bCs/>
          <w:sz w:val="24"/>
          <w:szCs w:val="32"/>
        </w:rPr>
        <w:t>六、主要参考书及其他内容</w:t>
      </w:r>
    </w:p>
    <w:p w:rsidR="00124E89" w:rsidRDefault="004168DA">
      <w:pPr>
        <w:pStyle w:val="a4"/>
        <w:spacing w:line="500" w:lineRule="exact"/>
      </w:pPr>
      <w:r>
        <w:t>1</w:t>
      </w:r>
      <w:r>
        <w:t>、耿建新、戴德明</w:t>
      </w:r>
      <w:r>
        <w:t>.</w:t>
      </w:r>
      <w:r>
        <w:t>高级会计学</w:t>
      </w:r>
      <w:r>
        <w:t>(</w:t>
      </w:r>
      <w:r>
        <w:t>第八版</w:t>
      </w:r>
      <w:r>
        <w:t>).</w:t>
      </w:r>
      <w:r>
        <w:t>北京：中国人民大学出版社，</w:t>
      </w:r>
      <w:r>
        <w:t>2019</w:t>
      </w:r>
    </w:p>
    <w:p w:rsidR="00124E89" w:rsidRDefault="004168DA">
      <w:pPr>
        <w:pStyle w:val="a4"/>
        <w:spacing w:line="500" w:lineRule="exact"/>
      </w:pPr>
      <w:r>
        <w:t>2</w:t>
      </w:r>
      <w:r>
        <w:t>、刘永泽、傅荣</w:t>
      </w:r>
      <w:r>
        <w:t>.</w:t>
      </w:r>
      <w:r>
        <w:t>高级财务会计</w:t>
      </w:r>
      <w:r>
        <w:t>(</w:t>
      </w:r>
      <w:r>
        <w:t>第六版</w:t>
      </w:r>
      <w:r>
        <w:t>).</w:t>
      </w:r>
      <w:r>
        <w:t>大连：东北财经大学出版社，</w:t>
      </w:r>
      <w:r>
        <w:t>2020</w:t>
      </w:r>
    </w:p>
    <w:p w:rsidR="00124E89" w:rsidRDefault="004168DA">
      <w:pPr>
        <w:pStyle w:val="a4"/>
        <w:spacing w:line="500" w:lineRule="exact"/>
      </w:pPr>
      <w:r>
        <w:t>3</w:t>
      </w:r>
      <w:r>
        <w:t>、石本仁</w:t>
      </w:r>
      <w:r>
        <w:t>.</w:t>
      </w:r>
      <w:r>
        <w:t>高级财务会计</w:t>
      </w:r>
      <w:r>
        <w:t>(</w:t>
      </w:r>
      <w:r>
        <w:t>微课版</w:t>
      </w:r>
      <w:r>
        <w:t xml:space="preserve"> </w:t>
      </w:r>
      <w:r>
        <w:t>第四版</w:t>
      </w:r>
      <w:r>
        <w:t>).</w:t>
      </w:r>
      <w:r>
        <w:t>北京：人民邮电出版社，</w:t>
      </w:r>
      <w:r>
        <w:t>2019</w:t>
      </w:r>
    </w:p>
    <w:p w:rsidR="00124E89" w:rsidRDefault="004168DA">
      <w:pPr>
        <w:pStyle w:val="a4"/>
        <w:spacing w:line="500" w:lineRule="exact"/>
      </w:pPr>
      <w:r>
        <w:t>4</w:t>
      </w:r>
      <w:r>
        <w:t>、汤湘希主编，高级财务会计（第二版），北京：经济科学出版社，</w:t>
      </w:r>
      <w:r>
        <w:t>2013</w:t>
      </w:r>
    </w:p>
    <w:p w:rsidR="00124E89" w:rsidRDefault="004168DA">
      <w:pPr>
        <w:pStyle w:val="a4"/>
        <w:spacing w:line="500" w:lineRule="exact"/>
      </w:pPr>
      <w:r>
        <w:t>5</w:t>
      </w:r>
      <w:r>
        <w:t>、</w:t>
      </w:r>
      <w:hyperlink r:id="rId8" w:history="1">
        <w:r>
          <w:t>梁莱歆</w:t>
        </w:r>
      </w:hyperlink>
      <w:r>
        <w:t>主编，</w:t>
      </w:r>
      <w:r>
        <w:t>高级财务会计（第三版），北京：清华大学出版社，</w:t>
      </w:r>
      <w:r>
        <w:t>2011</w:t>
      </w:r>
    </w:p>
    <w:p w:rsidR="00124E89" w:rsidRDefault="004168DA">
      <w:pPr>
        <w:pStyle w:val="a4"/>
        <w:spacing w:line="500" w:lineRule="exact"/>
      </w:pPr>
      <w:r>
        <w:t>6</w:t>
      </w:r>
      <w:r>
        <w:t>、葛家澍、林志军，现代西方会计理论（第三版），厦门：厦门大学出版社，</w:t>
      </w:r>
      <w:r>
        <w:t>2011</w:t>
      </w:r>
    </w:p>
    <w:p w:rsidR="00124E89" w:rsidRDefault="004168DA">
      <w:pPr>
        <w:pStyle w:val="a4"/>
        <w:spacing w:line="500" w:lineRule="exact"/>
      </w:pPr>
      <w:r>
        <w:t>7</w:t>
      </w:r>
      <w:r>
        <w:t>、</w:t>
      </w:r>
      <w:hyperlink r:id="rId9" w:history="1">
        <w:r>
          <w:t>理查德</w:t>
        </w:r>
        <w:r>
          <w:t>·</w:t>
        </w:r>
        <w:r>
          <w:t>贝克</w:t>
        </w:r>
      </w:hyperlink>
      <w:r>
        <w:t>等著，赵小鹿译，高级财务会计（第七版），北京：人民邮电出版社，</w:t>
      </w:r>
      <w:r>
        <w:t>2011</w:t>
      </w:r>
    </w:p>
    <w:p w:rsidR="00124E89" w:rsidRDefault="004168DA">
      <w:pPr>
        <w:pStyle w:val="a4"/>
        <w:spacing w:line="500" w:lineRule="exact"/>
      </w:pPr>
      <w:r>
        <w:t>8</w:t>
      </w:r>
      <w:r>
        <w:t>、斯科特著、陈汉文等译，财务会计理论（第六版），北京：中国人民大学出版社，</w:t>
      </w:r>
      <w:r>
        <w:t>201</w:t>
      </w:r>
      <w:r>
        <w:t>2</w:t>
      </w:r>
    </w:p>
    <w:p w:rsidR="00124E89" w:rsidRDefault="00124E89">
      <w:pPr>
        <w:spacing w:line="560" w:lineRule="exact"/>
        <w:ind w:firstLineChars="200" w:firstLine="480"/>
        <w:rPr>
          <w:rFonts w:eastAsia="黑体"/>
          <w:sz w:val="24"/>
          <w:szCs w:val="32"/>
          <w:lang w:val="zh-CN"/>
        </w:rPr>
      </w:pPr>
    </w:p>
    <w:p w:rsidR="00124E89" w:rsidRDefault="004168DA">
      <w:pPr>
        <w:pStyle w:val="a4"/>
        <w:spacing w:line="560" w:lineRule="exact"/>
      </w:pPr>
      <w:r>
        <w:t>执笔人</w:t>
      </w:r>
      <w:r>
        <w:t>签字</w:t>
      </w:r>
      <w:r>
        <w:t>：</w:t>
      </w:r>
      <w:r>
        <w:t>栾甫贵、刘瑛</w:t>
      </w:r>
    </w:p>
    <w:p w:rsidR="00124E89" w:rsidRDefault="004168DA">
      <w:pPr>
        <w:pStyle w:val="a4"/>
        <w:spacing w:line="560" w:lineRule="exact"/>
      </w:pPr>
      <w:r>
        <w:t>教研室</w:t>
      </w:r>
      <w:r>
        <w:t>主任、系主任</w:t>
      </w:r>
      <w:r>
        <w:t>审核</w:t>
      </w:r>
      <w:r>
        <w:t>签字</w:t>
      </w:r>
      <w:r>
        <w:t>：</w:t>
      </w:r>
      <w:r>
        <w:t>张馨艺、蔡立新</w:t>
      </w:r>
    </w:p>
    <w:p w:rsidR="00124E89" w:rsidRDefault="004168DA">
      <w:pPr>
        <w:pStyle w:val="a4"/>
        <w:spacing w:line="560" w:lineRule="exact"/>
      </w:pPr>
      <w:r>
        <w:t>教学主管领导</w:t>
      </w:r>
      <w:r>
        <w:t>审核</w:t>
      </w:r>
      <w:r>
        <w:t>签字</w:t>
      </w:r>
      <w:r>
        <w:t>：</w:t>
      </w:r>
      <w:r>
        <w:t>赵懿清</w:t>
      </w:r>
    </w:p>
    <w:p w:rsidR="00124E89" w:rsidRDefault="00124E89">
      <w:pPr>
        <w:widowControl/>
        <w:jc w:val="left"/>
        <w:rPr>
          <w:rFonts w:eastAsia="仿宋_GB2312"/>
          <w:b/>
          <w:sz w:val="32"/>
          <w:szCs w:val="32"/>
          <w:lang w:val="zh-CN"/>
        </w:rPr>
      </w:pPr>
    </w:p>
    <w:sectPr w:rsidR="00124E89">
      <w:headerReference w:type="even" r:id="rId10"/>
      <w:headerReference w:type="default" r:id="rId11"/>
      <w:footerReference w:type="even" r:id="rId12"/>
      <w:footerReference w:type="default" r:id="rId13"/>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8DA" w:rsidRDefault="004168DA">
      <w:r>
        <w:separator/>
      </w:r>
    </w:p>
  </w:endnote>
  <w:endnote w:type="continuationSeparator" w:id="0">
    <w:p w:rsidR="004168DA" w:rsidRDefault="00416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E89" w:rsidRDefault="004168DA">
    <w:pPr>
      <w:pStyle w:val="a6"/>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640168">
      <w:rPr>
        <w:rFonts w:ascii="宋体" w:hAnsi="宋体"/>
        <w:noProof/>
        <w:sz w:val="28"/>
      </w:rPr>
      <w:t>- 4 -</w:t>
    </w:r>
    <w:r>
      <w:rPr>
        <w:rFonts w:ascii="宋体" w:hAnsi="宋体"/>
        <w:sz w:val="28"/>
      </w:rPr>
      <w:fldChar w:fldCharType="end"/>
    </w:r>
  </w:p>
  <w:p w:rsidR="00124E89" w:rsidRDefault="00124E8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E89" w:rsidRDefault="004168DA">
    <w:pPr>
      <w:pStyle w:val="a6"/>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640168">
      <w:rPr>
        <w:rFonts w:ascii="宋体" w:hAnsi="宋体"/>
        <w:noProof/>
        <w:sz w:val="28"/>
      </w:rPr>
      <w:t>- 1 -</w:t>
    </w:r>
    <w:r>
      <w:rPr>
        <w:rFonts w:ascii="宋体" w:hAnsi="宋体"/>
        <w:sz w:val="28"/>
      </w:rPr>
      <w:fldChar w:fldCharType="end"/>
    </w:r>
  </w:p>
  <w:p w:rsidR="00124E89" w:rsidRDefault="00124E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8DA" w:rsidRDefault="004168DA">
      <w:r>
        <w:separator/>
      </w:r>
    </w:p>
  </w:footnote>
  <w:footnote w:type="continuationSeparator" w:id="0">
    <w:p w:rsidR="004168DA" w:rsidRDefault="004168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E89" w:rsidRDefault="00124E89">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E89" w:rsidRDefault="00124E89">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FE7AC5"/>
    <w:multiLevelType w:val="multilevel"/>
    <w:tmpl w:val="2AFE7AC5"/>
    <w:lvl w:ilvl="0">
      <w:start w:val="1"/>
      <w:numFmt w:val="japaneseCounting"/>
      <w:lvlText w:val="%1、"/>
      <w:lvlJc w:val="left"/>
      <w:pPr>
        <w:tabs>
          <w:tab w:val="left" w:pos="480"/>
        </w:tabs>
        <w:ind w:left="480" w:hanging="48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24E89"/>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6E9B"/>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8DA"/>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21B0"/>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168"/>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E7993"/>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152A"/>
    <w:rsid w:val="009E288A"/>
    <w:rsid w:val="009F0A9B"/>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2797"/>
    <w:rsid w:val="00F239B9"/>
    <w:rsid w:val="00F23D80"/>
    <w:rsid w:val="00F23FB9"/>
    <w:rsid w:val="00F34A8A"/>
    <w:rsid w:val="00F34FF1"/>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2D78"/>
    <w:rsid w:val="00FB478C"/>
    <w:rsid w:val="00FB49AC"/>
    <w:rsid w:val="00FB778F"/>
    <w:rsid w:val="00FC32C6"/>
    <w:rsid w:val="00FC3348"/>
    <w:rsid w:val="00FC6E8B"/>
    <w:rsid w:val="00FD37EE"/>
    <w:rsid w:val="00FD41BF"/>
    <w:rsid w:val="00FD58DF"/>
    <w:rsid w:val="00FD6D0A"/>
    <w:rsid w:val="00FD6D9F"/>
    <w:rsid w:val="00FE1156"/>
    <w:rsid w:val="00FF02FC"/>
    <w:rsid w:val="0A100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19AD248-D60D-43C9-AF42-182B37DD3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Char"/>
    <w:uiPriority w:val="99"/>
    <w:qFormat/>
    <w:pPr>
      <w:keepNext/>
      <w:keepLines/>
      <w:outlineLvl w:val="0"/>
    </w:pPr>
    <w:rPr>
      <w:rFonts w:eastAsia="仿宋"/>
      <w:b/>
      <w:bCs/>
      <w:kern w:val="44"/>
      <w:sz w:val="32"/>
      <w:szCs w:val="44"/>
      <w:lang w:val="zh-CN"/>
    </w:rPr>
  </w:style>
  <w:style w:type="paragraph" w:styleId="2">
    <w:name w:val="heading 2"/>
    <w:basedOn w:val="a"/>
    <w:next w:val="a"/>
    <w:link w:val="2Char"/>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pPr>
      <w:jc w:val="left"/>
    </w:pPr>
    <w:rPr>
      <w:szCs w:val="21"/>
      <w:lang w:val="zh-CN"/>
    </w:rPr>
  </w:style>
  <w:style w:type="paragraph" w:styleId="a4">
    <w:name w:val="Body Text Indent"/>
    <w:basedOn w:val="a"/>
    <w:link w:val="Char0"/>
    <w:uiPriority w:val="99"/>
    <w:qFormat/>
    <w:pPr>
      <w:spacing w:line="360" w:lineRule="auto"/>
      <w:ind w:firstLineChars="200" w:firstLine="480"/>
    </w:pPr>
    <w:rPr>
      <w:sz w:val="24"/>
      <w:lang w:val="zh-CN"/>
    </w:rPr>
  </w:style>
  <w:style w:type="paragraph" w:styleId="20">
    <w:name w:val="Body Text Indent 2"/>
    <w:basedOn w:val="a"/>
    <w:link w:val="2Char0"/>
    <w:pPr>
      <w:ind w:firstLineChars="200" w:firstLine="560"/>
    </w:pPr>
    <w:rPr>
      <w:sz w:val="28"/>
      <w:szCs w:val="20"/>
      <w:lang w:val="zh-CN"/>
    </w:rPr>
  </w:style>
  <w:style w:type="paragraph" w:styleId="a5">
    <w:name w:val="Balloon Text"/>
    <w:basedOn w:val="a"/>
    <w:link w:val="Char1"/>
    <w:uiPriority w:val="99"/>
    <w:semiHidden/>
    <w:rPr>
      <w:sz w:val="18"/>
      <w:szCs w:val="18"/>
      <w:lang w:val="zh-CN"/>
    </w:rPr>
  </w:style>
  <w:style w:type="paragraph" w:styleId="a6">
    <w:name w:val="footer"/>
    <w:basedOn w:val="a"/>
    <w:link w:val="Char2"/>
    <w:unhideWhenUsed/>
    <w:pPr>
      <w:tabs>
        <w:tab w:val="center" w:pos="4153"/>
        <w:tab w:val="right" w:pos="8306"/>
      </w:tabs>
      <w:snapToGrid w:val="0"/>
      <w:jc w:val="left"/>
    </w:pPr>
    <w:rPr>
      <w:kern w:val="0"/>
      <w:sz w:val="18"/>
      <w:szCs w:val="18"/>
      <w:lang w:val="zh-CN"/>
    </w:rPr>
  </w:style>
  <w:style w:type="paragraph" w:styleId="a7">
    <w:name w:val="header"/>
    <w:basedOn w:val="a"/>
    <w:link w:val="Char3"/>
    <w:unhideWhenUsed/>
    <w:pPr>
      <w:pBdr>
        <w:bottom w:val="single" w:sz="6" w:space="1" w:color="auto"/>
      </w:pBdr>
      <w:tabs>
        <w:tab w:val="center" w:pos="4153"/>
        <w:tab w:val="right" w:pos="8306"/>
      </w:tabs>
      <w:snapToGrid w:val="0"/>
      <w:jc w:val="center"/>
    </w:pPr>
    <w:rPr>
      <w:kern w:val="0"/>
      <w:sz w:val="18"/>
      <w:szCs w:val="18"/>
      <w:lang w:val="zh-CN"/>
    </w:rPr>
  </w:style>
  <w:style w:type="paragraph" w:styleId="a8">
    <w:name w:val="footnote text"/>
    <w:basedOn w:val="a"/>
    <w:link w:val="Char4"/>
    <w:uiPriority w:val="99"/>
    <w:semiHidden/>
    <w:unhideWhenUsed/>
    <w:pPr>
      <w:snapToGrid w:val="0"/>
      <w:jc w:val="left"/>
    </w:pPr>
    <w:rPr>
      <w:sz w:val="18"/>
      <w:szCs w:val="18"/>
      <w:lang w:val="zh-CN"/>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9">
    <w:name w:val="Normal (Web)"/>
    <w:basedOn w:val="a"/>
    <w:uiPriority w:val="99"/>
    <w:pPr>
      <w:widowControl/>
      <w:spacing w:before="240" w:after="240"/>
      <w:jc w:val="left"/>
    </w:pPr>
    <w:rPr>
      <w:rFonts w:ascii="宋体" w:hAnsi="宋体" w:cs="宋体"/>
      <w:kern w:val="0"/>
      <w:sz w:val="24"/>
    </w:rPr>
  </w:style>
  <w:style w:type="paragraph" w:styleId="aa">
    <w:name w:val="annotation subject"/>
    <w:basedOn w:val="a3"/>
    <w:next w:val="a3"/>
    <w:link w:val="Char5"/>
    <w:uiPriority w:val="99"/>
    <w:semiHidden/>
    <w:rPr>
      <w:b/>
      <w:bCs/>
    </w:rPr>
  </w:style>
  <w:style w:type="table" w:styleId="ab">
    <w:name w:val="Table Grid"/>
    <w:basedOn w:val="a1"/>
    <w:uiPriority w:val="99"/>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Strong"/>
    <w:qFormat/>
    <w:rPr>
      <w:b/>
      <w:bCs/>
    </w:rPr>
  </w:style>
  <w:style w:type="character" w:styleId="ad">
    <w:name w:val="page number"/>
    <w:rPr>
      <w:rFonts w:cs="Times New Roman"/>
    </w:rPr>
  </w:style>
  <w:style w:type="character" w:styleId="ae">
    <w:name w:val="Hyperlink"/>
    <w:uiPriority w:val="99"/>
    <w:semiHidden/>
    <w:rPr>
      <w:rFonts w:cs="Times New Roman"/>
      <w:color w:val="0000FF"/>
      <w:u w:val="single"/>
    </w:rPr>
  </w:style>
  <w:style w:type="character" w:styleId="af">
    <w:name w:val="annotation reference"/>
    <w:uiPriority w:val="99"/>
    <w:semiHidden/>
    <w:rPr>
      <w:rFonts w:cs="Times New Roman"/>
      <w:sz w:val="21"/>
      <w:szCs w:val="21"/>
    </w:rPr>
  </w:style>
  <w:style w:type="character" w:styleId="af0">
    <w:name w:val="footnote reference"/>
    <w:uiPriority w:val="99"/>
    <w:semiHidden/>
    <w:unhideWhenUsed/>
    <w:rPr>
      <w:vertAlign w:val="superscript"/>
    </w:rPr>
  </w:style>
  <w:style w:type="character" w:customStyle="1" w:styleId="Char3">
    <w:name w:val="页眉 Char"/>
    <w:link w:val="a7"/>
    <w:rPr>
      <w:rFonts w:ascii="Times New Roman" w:eastAsia="宋体" w:hAnsi="Times New Roman" w:cs="Times New Roman"/>
      <w:sz w:val="18"/>
      <w:szCs w:val="18"/>
    </w:rPr>
  </w:style>
  <w:style w:type="character" w:customStyle="1" w:styleId="Char2">
    <w:name w:val="页脚 Char"/>
    <w:link w:val="a6"/>
    <w:uiPriority w:val="99"/>
    <w:rPr>
      <w:rFonts w:ascii="Times New Roman" w:eastAsia="宋体" w:hAnsi="Times New Roman" w:cs="Times New Roman"/>
      <w:sz w:val="18"/>
      <w:szCs w:val="18"/>
    </w:rPr>
  </w:style>
  <w:style w:type="character" w:customStyle="1" w:styleId="HTMLChar">
    <w:name w:val="HTML 预设格式 Char"/>
    <w:link w:val="HTML"/>
    <w:rPr>
      <w:rFonts w:ascii="宋体" w:hAnsi="宋体" w:cs="宋体"/>
      <w:sz w:val="24"/>
      <w:szCs w:val="24"/>
    </w:rPr>
  </w:style>
  <w:style w:type="character" w:customStyle="1" w:styleId="HTMLChar1">
    <w:name w:val="HTML 预设格式 Char1"/>
    <w:uiPriority w:val="99"/>
    <w:semiHidden/>
    <w:rPr>
      <w:rFonts w:ascii="Courier New" w:hAnsi="Courier New" w:cs="Courier New"/>
      <w:kern w:val="2"/>
    </w:rPr>
  </w:style>
  <w:style w:type="paragraph" w:customStyle="1" w:styleId="CharCharCharCharCharChar1CharCharCharChar">
    <w:name w:val="Char Char Char Char Char Char1 Char Char Char Char"/>
    <w:basedOn w:val="a"/>
    <w:pPr>
      <w:widowControl/>
      <w:spacing w:after="160" w:line="240" w:lineRule="exact"/>
      <w:jc w:val="left"/>
    </w:pPr>
    <w:rPr>
      <w:szCs w:val="20"/>
    </w:rPr>
  </w:style>
  <w:style w:type="character" w:customStyle="1" w:styleId="htmltxt1">
    <w:name w:val="html_txt1"/>
    <w:rPr>
      <w:color w:val="000000"/>
    </w:rPr>
  </w:style>
  <w:style w:type="character" w:customStyle="1" w:styleId="2Char0">
    <w:name w:val="正文文本缩进 2 Char"/>
    <w:link w:val="20"/>
    <w:rPr>
      <w:rFonts w:ascii="Times New Roman" w:hAnsi="Times New Roman"/>
      <w:kern w:val="2"/>
      <w:sz w:val="28"/>
    </w:rPr>
  </w:style>
  <w:style w:type="character" w:customStyle="1" w:styleId="1Char">
    <w:name w:val="标题 1 Char"/>
    <w:link w:val="1"/>
    <w:uiPriority w:val="99"/>
    <w:rPr>
      <w:rFonts w:ascii="Times New Roman" w:eastAsia="仿宋" w:hAnsi="Times New Roman"/>
      <w:b/>
      <w:bCs/>
      <w:kern w:val="44"/>
      <w:sz w:val="32"/>
      <w:szCs w:val="44"/>
    </w:rPr>
  </w:style>
  <w:style w:type="character" w:customStyle="1" w:styleId="2Char">
    <w:name w:val="标题 2 Char"/>
    <w:link w:val="2"/>
    <w:uiPriority w:val="99"/>
    <w:rPr>
      <w:rFonts w:ascii="Cambria" w:eastAsia="仿宋" w:hAnsi="Cambria"/>
      <w:b/>
      <w:bCs/>
      <w:kern w:val="2"/>
      <w:sz w:val="30"/>
      <w:szCs w:val="32"/>
    </w:rPr>
  </w:style>
  <w:style w:type="character" w:customStyle="1" w:styleId="Char">
    <w:name w:val="批注文字 Char"/>
    <w:link w:val="a3"/>
    <w:uiPriority w:val="99"/>
    <w:semiHidden/>
    <w:rPr>
      <w:rFonts w:ascii="Times New Roman" w:hAnsi="Times New Roman"/>
      <w:kern w:val="2"/>
      <w:sz w:val="21"/>
      <w:szCs w:val="21"/>
    </w:rPr>
  </w:style>
  <w:style w:type="character" w:customStyle="1" w:styleId="Char1">
    <w:name w:val="批注框文本 Char"/>
    <w:link w:val="a5"/>
    <w:uiPriority w:val="99"/>
    <w:semiHidden/>
    <w:rPr>
      <w:rFonts w:ascii="Times New Roman" w:hAnsi="Times New Roman"/>
      <w:kern w:val="2"/>
      <w:sz w:val="18"/>
      <w:szCs w:val="18"/>
    </w:rPr>
  </w:style>
  <w:style w:type="paragraph" w:customStyle="1" w:styleId="NoSpacing1">
    <w:name w:val="No Spacing1"/>
    <w:uiPriority w:val="99"/>
    <w:pPr>
      <w:widowControl w:val="0"/>
      <w:jc w:val="both"/>
    </w:pPr>
    <w:rPr>
      <w:rFonts w:ascii="Times New Roman" w:hAnsi="Times New Roman"/>
      <w:kern w:val="2"/>
      <w:sz w:val="21"/>
      <w:szCs w:val="21"/>
    </w:rPr>
  </w:style>
  <w:style w:type="character" w:customStyle="1" w:styleId="Char5">
    <w:name w:val="批注主题 Char"/>
    <w:link w:val="aa"/>
    <w:uiPriority w:val="99"/>
    <w:semiHidden/>
    <w:rPr>
      <w:rFonts w:ascii="Times New Roman" w:hAnsi="Times New Roman"/>
      <w:b/>
      <w:bCs/>
      <w:kern w:val="2"/>
      <w:sz w:val="21"/>
      <w:szCs w:val="21"/>
    </w:rPr>
  </w:style>
  <w:style w:type="paragraph" w:styleId="af1">
    <w:name w:val="List Paragraph"/>
    <w:basedOn w:val="a"/>
    <w:uiPriority w:val="99"/>
    <w:qFormat/>
    <w:pPr>
      <w:ind w:firstLineChars="200" w:firstLine="420"/>
    </w:pPr>
    <w:rPr>
      <w:szCs w:val="21"/>
    </w:rPr>
  </w:style>
  <w:style w:type="character" w:customStyle="1" w:styleId="10">
    <w:name w:val="已访问的超链接1"/>
    <w:uiPriority w:val="99"/>
    <w:semiHidden/>
    <w:rPr>
      <w:rFonts w:cs="Times New Roman"/>
      <w:color w:val="800080"/>
      <w:u w:val="single"/>
    </w:rPr>
  </w:style>
  <w:style w:type="paragraph" w:customStyle="1" w:styleId="font5">
    <w:name w:val="font5"/>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pPr>
      <w:widowControl/>
      <w:spacing w:before="100" w:beforeAutospacing="1" w:after="100" w:afterAutospacing="1"/>
      <w:jc w:val="left"/>
    </w:pPr>
    <w:rPr>
      <w:kern w:val="0"/>
      <w:sz w:val="18"/>
      <w:szCs w:val="18"/>
    </w:rPr>
  </w:style>
  <w:style w:type="paragraph" w:customStyle="1" w:styleId="font14">
    <w:name w:val="font14"/>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pPr>
      <w:widowControl/>
      <w:spacing w:before="100" w:beforeAutospacing="1" w:after="100" w:afterAutospacing="1"/>
      <w:jc w:val="center"/>
    </w:pPr>
    <w:rPr>
      <w:kern w:val="0"/>
      <w:sz w:val="16"/>
      <w:szCs w:val="16"/>
    </w:rPr>
  </w:style>
  <w:style w:type="paragraph" w:customStyle="1" w:styleId="xl64">
    <w:name w:val="xl64"/>
    <w:basedOn w:val="a"/>
    <w:uiPriority w:val="99"/>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pPr>
      <w:widowControl/>
      <w:spacing w:before="100" w:beforeAutospacing="1" w:after="100" w:afterAutospacing="1"/>
      <w:jc w:val="center"/>
    </w:pPr>
    <w:rPr>
      <w:kern w:val="0"/>
      <w:sz w:val="18"/>
      <w:szCs w:val="18"/>
    </w:rPr>
  </w:style>
  <w:style w:type="paragraph" w:customStyle="1" w:styleId="xl72">
    <w:name w:val="xl7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Pr>
      <w:rFonts w:cs="Times New Roman"/>
      <w:sz w:val="20"/>
      <w:szCs w:val="20"/>
    </w:rPr>
  </w:style>
  <w:style w:type="character" w:customStyle="1" w:styleId="Char0">
    <w:name w:val="正文文本缩进 Char"/>
    <w:link w:val="a4"/>
    <w:uiPriority w:val="99"/>
    <w:rPr>
      <w:rFonts w:ascii="Times New Roman" w:hAnsi="Times New Roman"/>
      <w:kern w:val="2"/>
      <w:sz w:val="24"/>
      <w:szCs w:val="24"/>
    </w:rPr>
  </w:style>
  <w:style w:type="character" w:customStyle="1" w:styleId="Char4">
    <w:name w:val="脚注文本 Char"/>
    <w:link w:val="a8"/>
    <w:uiPriority w:val="99"/>
    <w:semiHidden/>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earch.dangdang.com/?key2=????&amp;medium=01&amp;category_path=01.00.00.00.00.0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arch.dangdang.com/?key2=???????????&amp;medium=01&amp;category_path=01.00.00.00.00.00"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4764</TotalTime>
  <Pages>18</Pages>
  <Words>1310</Words>
  <Characters>7470</Characters>
  <Application>Microsoft Office Word</Application>
  <DocSecurity>0</DocSecurity>
  <Lines>62</Lines>
  <Paragraphs>17</Paragraphs>
  <ScaleCrop>false</ScaleCrop>
  <Company/>
  <LinksUpToDate>false</LinksUpToDate>
  <CharactersWithSpaces>8763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192</cp:revision>
  <cp:lastPrinted>2021-01-12T01:12:00Z</cp:lastPrinted>
  <dcterms:created xsi:type="dcterms:W3CDTF">2020-07-24T12:49:00Z</dcterms:created>
  <dcterms:modified xsi:type="dcterms:W3CDTF">2021-05-28T02:14:00Z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1B2AB1057ACF44998120AA10D01DC6C1</vt:lpwstr>
  </property>
</Properties>
</file>