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68C3" w:rsidRDefault="0005128D">
      <w:pPr>
        <w:spacing w:line="560" w:lineRule="exact"/>
        <w:jc w:val="center"/>
        <w:rPr>
          <w:rFonts w:ascii="黑体" w:eastAsia="黑体" w:hAnsi="黑体"/>
          <w:b/>
          <w:bCs/>
          <w:sz w:val="32"/>
          <w:szCs w:val="32"/>
        </w:rPr>
      </w:pPr>
      <w:r>
        <w:rPr>
          <w:rFonts w:ascii="黑体" w:eastAsia="黑体" w:hAnsi="黑体" w:hint="eastAsia"/>
          <w:sz w:val="32"/>
          <w:szCs w:val="32"/>
        </w:rPr>
        <w:t>《供应链</w:t>
      </w:r>
      <w:r>
        <w:rPr>
          <w:rFonts w:ascii="黑体" w:eastAsia="黑体" w:hAnsi="黑体"/>
          <w:sz w:val="32"/>
          <w:szCs w:val="32"/>
        </w:rPr>
        <w:t>优化技术</w:t>
      </w:r>
      <w:r>
        <w:rPr>
          <w:rFonts w:ascii="黑体" w:eastAsia="黑体" w:hAnsi="黑体" w:hint="eastAsia"/>
          <w:sz w:val="32"/>
          <w:szCs w:val="32"/>
        </w:rPr>
        <w:t>》</w:t>
      </w:r>
      <w:r w:rsidR="003C6D38">
        <w:rPr>
          <w:rFonts w:ascii="黑体" w:eastAsia="黑体" w:hAnsi="黑体" w:hint="eastAsia"/>
          <w:sz w:val="32"/>
          <w:szCs w:val="32"/>
        </w:rPr>
        <w:t>教学大纲</w:t>
      </w:r>
    </w:p>
    <w:p w:rsidR="00B268C3" w:rsidRDefault="00B268C3">
      <w:pPr>
        <w:spacing w:line="560" w:lineRule="exact"/>
        <w:jc w:val="center"/>
        <w:rPr>
          <w:rFonts w:ascii="仿宋_GB2312" w:eastAsia="仿宋_GB2312"/>
          <w:b/>
          <w:bCs/>
          <w:sz w:val="32"/>
          <w:szCs w:val="32"/>
        </w:rPr>
      </w:pPr>
    </w:p>
    <w:p w:rsidR="00B268C3" w:rsidRDefault="003C6D38">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课程编号：</w:t>
      </w:r>
      <w:bookmarkStart w:id="0" w:name="_GoBack"/>
      <w:r w:rsidRPr="0035306C">
        <w:rPr>
          <w:sz w:val="28"/>
          <w:szCs w:val="28"/>
        </w:rPr>
        <w:t>2121282B</w:t>
      </w:r>
      <w:bookmarkEnd w:id="0"/>
    </w:p>
    <w:p w:rsidR="00B268C3" w:rsidRDefault="003C6D38">
      <w:pPr>
        <w:pStyle w:val="a8"/>
        <w:tabs>
          <w:tab w:val="left" w:pos="0"/>
        </w:tabs>
        <w:spacing w:before="0" w:after="0" w:line="560" w:lineRule="exact"/>
        <w:ind w:firstLineChars="200" w:firstLine="560"/>
        <w:jc w:val="both"/>
        <w:rPr>
          <w:sz w:val="28"/>
          <w:szCs w:val="28"/>
        </w:rPr>
      </w:pPr>
      <w:r>
        <w:rPr>
          <w:rFonts w:ascii="黑体" w:eastAsia="黑体" w:hAnsi="黑体" w:hint="eastAsia"/>
          <w:sz w:val="28"/>
          <w:szCs w:val="28"/>
        </w:rPr>
        <w:t>课程类型：</w:t>
      </w:r>
      <w:r>
        <w:rPr>
          <w:rFonts w:hint="eastAsia"/>
          <w:sz w:val="28"/>
          <w:szCs w:val="28"/>
        </w:rPr>
        <w:sym w:font="Wingdings 2" w:char="00A3"/>
      </w:r>
      <w:r>
        <w:rPr>
          <w:rFonts w:hint="eastAsia"/>
          <w:sz w:val="28"/>
          <w:szCs w:val="28"/>
        </w:rPr>
        <w:t>通识教育必修课  □通识教育选修课</w:t>
      </w:r>
    </w:p>
    <w:p w:rsidR="00B268C3" w:rsidRDefault="003C6D38">
      <w:pPr>
        <w:pStyle w:val="a8"/>
        <w:tabs>
          <w:tab w:val="left" w:pos="0"/>
        </w:tabs>
        <w:spacing w:before="0" w:after="0" w:line="560" w:lineRule="exact"/>
        <w:ind w:firstLineChars="700" w:firstLine="1960"/>
        <w:jc w:val="both"/>
        <w:rPr>
          <w:sz w:val="28"/>
          <w:szCs w:val="28"/>
        </w:rPr>
      </w:pPr>
      <w:r>
        <w:rPr>
          <w:rFonts w:hint="eastAsia"/>
          <w:sz w:val="28"/>
          <w:szCs w:val="28"/>
        </w:rPr>
        <w:t>□学科基础课      □专业核心课</w:t>
      </w:r>
    </w:p>
    <w:p w:rsidR="00B268C3" w:rsidRDefault="003C6D38">
      <w:pPr>
        <w:pStyle w:val="a8"/>
        <w:tabs>
          <w:tab w:val="left" w:pos="0"/>
        </w:tabs>
        <w:spacing w:before="0" w:after="0" w:line="560" w:lineRule="exact"/>
        <w:ind w:firstLineChars="700" w:firstLine="1960"/>
        <w:jc w:val="both"/>
        <w:rPr>
          <w:rFonts w:ascii="黑体" w:eastAsia="黑体" w:hAnsi="黑体"/>
          <w:sz w:val="28"/>
          <w:szCs w:val="28"/>
        </w:rPr>
      </w:pPr>
      <w:r>
        <w:rPr>
          <w:rFonts w:hint="eastAsia"/>
          <w:sz w:val="28"/>
          <w:szCs w:val="28"/>
        </w:rPr>
        <w:sym w:font="Wingdings 2" w:char="0052"/>
      </w:r>
      <w:r>
        <w:rPr>
          <w:rFonts w:hint="eastAsia"/>
          <w:sz w:val="28"/>
          <w:szCs w:val="28"/>
        </w:rPr>
        <w:t>专业提升课      □专业拓展课</w:t>
      </w:r>
    </w:p>
    <w:p w:rsidR="00B268C3" w:rsidRDefault="003C6D38">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总</w:t>
      </w:r>
      <w:r w:rsidR="0005128D">
        <w:rPr>
          <w:rFonts w:ascii="黑体" w:eastAsia="黑体" w:hAnsi="黑体" w:hint="eastAsia"/>
          <w:sz w:val="28"/>
          <w:szCs w:val="28"/>
        </w:rPr>
        <w:t xml:space="preserve"> </w:t>
      </w:r>
      <w:r>
        <w:rPr>
          <w:rFonts w:ascii="黑体" w:eastAsia="黑体" w:hAnsi="黑体" w:hint="eastAsia"/>
          <w:sz w:val="28"/>
          <w:szCs w:val="28"/>
        </w:rPr>
        <w:t>学</w:t>
      </w:r>
      <w:r w:rsidR="0005128D">
        <w:rPr>
          <w:rFonts w:ascii="黑体" w:eastAsia="黑体" w:hAnsi="黑体" w:hint="eastAsia"/>
          <w:sz w:val="28"/>
          <w:szCs w:val="28"/>
        </w:rPr>
        <w:t xml:space="preserve"> </w:t>
      </w:r>
      <w:r>
        <w:rPr>
          <w:rFonts w:ascii="黑体" w:eastAsia="黑体" w:hAnsi="黑体" w:hint="eastAsia"/>
          <w:sz w:val="28"/>
          <w:szCs w:val="28"/>
        </w:rPr>
        <w:t>时：</w:t>
      </w:r>
      <w:r>
        <w:rPr>
          <w:rFonts w:hint="eastAsia"/>
          <w:sz w:val="28"/>
          <w:szCs w:val="28"/>
        </w:rPr>
        <w:t>32</w:t>
      </w:r>
      <w:r>
        <w:rPr>
          <w:rFonts w:ascii="黑体" w:eastAsia="黑体" w:hAnsi="黑体" w:hint="eastAsia"/>
          <w:sz w:val="28"/>
          <w:szCs w:val="28"/>
        </w:rPr>
        <w:t xml:space="preserve">      讲课学时：</w:t>
      </w:r>
      <w:r>
        <w:rPr>
          <w:rFonts w:hint="eastAsia"/>
          <w:sz w:val="28"/>
          <w:szCs w:val="28"/>
        </w:rPr>
        <w:t>32</w:t>
      </w:r>
      <w:r>
        <w:rPr>
          <w:rFonts w:ascii="黑体" w:eastAsia="黑体" w:hAnsi="黑体" w:hint="eastAsia"/>
          <w:sz w:val="28"/>
          <w:szCs w:val="28"/>
        </w:rPr>
        <w:t xml:space="preserve"> </w:t>
      </w:r>
      <w:r w:rsidR="0005128D">
        <w:rPr>
          <w:rFonts w:ascii="黑体" w:eastAsia="黑体" w:hAnsi="黑体"/>
          <w:sz w:val="28"/>
          <w:szCs w:val="28"/>
        </w:rPr>
        <w:t xml:space="preserve">    </w:t>
      </w:r>
      <w:r>
        <w:rPr>
          <w:rFonts w:ascii="黑体" w:eastAsia="黑体" w:hAnsi="黑体" w:hint="eastAsia"/>
          <w:sz w:val="28"/>
          <w:szCs w:val="28"/>
        </w:rPr>
        <w:t>实验（上机）学时：</w:t>
      </w:r>
      <w:r w:rsidR="0005128D">
        <w:rPr>
          <w:rFonts w:ascii="黑体" w:eastAsia="黑体" w:hAnsi="黑体" w:hint="eastAsia"/>
          <w:sz w:val="28"/>
          <w:szCs w:val="28"/>
        </w:rPr>
        <w:t>0</w:t>
      </w:r>
    </w:p>
    <w:p w:rsidR="00B268C3" w:rsidRDefault="003C6D38">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学　　分：</w:t>
      </w:r>
      <w:r>
        <w:rPr>
          <w:rFonts w:hint="eastAsia"/>
          <w:sz w:val="28"/>
          <w:szCs w:val="28"/>
        </w:rPr>
        <w:t>2</w:t>
      </w:r>
    </w:p>
    <w:p w:rsidR="00B268C3" w:rsidRDefault="003C6D38">
      <w:pPr>
        <w:pStyle w:val="a8"/>
        <w:tabs>
          <w:tab w:val="left" w:pos="0"/>
        </w:tabs>
        <w:spacing w:before="0" w:after="0" w:line="560" w:lineRule="exact"/>
        <w:ind w:firstLineChars="200" w:firstLine="560"/>
        <w:jc w:val="both"/>
        <w:rPr>
          <w:rFonts w:ascii="黑体" w:eastAsia="黑体" w:cs="黑体"/>
          <w:sz w:val="28"/>
          <w:szCs w:val="28"/>
        </w:rPr>
      </w:pPr>
      <w:r>
        <w:rPr>
          <w:rFonts w:ascii="黑体" w:eastAsia="黑体" w:cs="黑体" w:hint="eastAsia"/>
          <w:sz w:val="28"/>
          <w:szCs w:val="28"/>
        </w:rPr>
        <w:t>考试类型：</w:t>
      </w:r>
      <w:r>
        <w:rPr>
          <w:sz w:val="28"/>
          <w:szCs w:val="28"/>
        </w:rPr>
        <w:t xml:space="preserve">□考试   </w:t>
      </w:r>
      <w:r>
        <w:rPr>
          <w:sz w:val="28"/>
          <w:szCs w:val="28"/>
        </w:rPr>
        <w:sym w:font="Wingdings 2" w:char="0052"/>
      </w:r>
      <w:r>
        <w:rPr>
          <w:sz w:val="28"/>
          <w:szCs w:val="28"/>
        </w:rPr>
        <w:t>考查</w:t>
      </w:r>
    </w:p>
    <w:p w:rsidR="00B268C3" w:rsidRDefault="003C6D38">
      <w:pPr>
        <w:pStyle w:val="a8"/>
        <w:tabs>
          <w:tab w:val="left" w:pos="0"/>
        </w:tabs>
        <w:spacing w:before="0" w:after="0" w:line="560" w:lineRule="exact"/>
        <w:ind w:firstLineChars="200" w:firstLine="560"/>
        <w:jc w:val="both"/>
        <w:rPr>
          <w:sz w:val="28"/>
          <w:szCs w:val="28"/>
        </w:rPr>
      </w:pPr>
      <w:r>
        <w:rPr>
          <w:rFonts w:ascii="黑体" w:eastAsia="黑体" w:cs="黑体" w:hint="eastAsia"/>
          <w:sz w:val="28"/>
          <w:szCs w:val="28"/>
        </w:rPr>
        <w:t>适用对象：</w:t>
      </w:r>
      <w:r>
        <w:rPr>
          <w:rFonts w:hint="eastAsia"/>
          <w:sz w:val="28"/>
          <w:szCs w:val="28"/>
        </w:rPr>
        <w:t>工业工程专</w:t>
      </w:r>
      <w:r>
        <w:rPr>
          <w:sz w:val="28"/>
          <w:szCs w:val="28"/>
        </w:rPr>
        <w:t>业</w:t>
      </w:r>
    </w:p>
    <w:p w:rsidR="00B268C3" w:rsidRDefault="003C6D38">
      <w:pPr>
        <w:pStyle w:val="a8"/>
        <w:tabs>
          <w:tab w:val="left" w:pos="0"/>
        </w:tabs>
        <w:spacing w:before="0" w:after="0" w:line="560" w:lineRule="exact"/>
        <w:ind w:firstLineChars="200" w:firstLine="560"/>
        <w:jc w:val="both"/>
        <w:rPr>
          <w:sz w:val="28"/>
          <w:szCs w:val="28"/>
        </w:rPr>
      </w:pPr>
      <w:r>
        <w:rPr>
          <w:sz w:val="28"/>
          <w:szCs w:val="28"/>
        </w:rPr>
        <w:t xml:space="preserve">      </w:t>
      </w:r>
      <w:r>
        <w:rPr>
          <w:sz w:val="28"/>
          <w:szCs w:val="28"/>
        </w:rPr>
        <w:sym w:font="Wingdings 2" w:char="00A3"/>
      </w:r>
      <w:r>
        <w:rPr>
          <w:sz w:val="28"/>
          <w:szCs w:val="28"/>
        </w:rPr>
        <w:t xml:space="preserve">是   </w:t>
      </w:r>
      <w:r>
        <w:rPr>
          <w:sz w:val="28"/>
          <w:szCs w:val="28"/>
        </w:rPr>
        <w:sym w:font="Wingdings 2" w:char="0052"/>
      </w:r>
      <w:r>
        <w:rPr>
          <w:sz w:val="28"/>
          <w:szCs w:val="28"/>
        </w:rPr>
        <w:t>否 适合作为其他专业学生的个性化选修课</w:t>
      </w:r>
    </w:p>
    <w:p w:rsidR="00B268C3" w:rsidRDefault="003C6D38">
      <w:pPr>
        <w:pStyle w:val="a8"/>
        <w:tabs>
          <w:tab w:val="left" w:pos="0"/>
        </w:tabs>
        <w:spacing w:before="0" w:after="0" w:line="560" w:lineRule="exact"/>
        <w:ind w:firstLineChars="200" w:firstLine="560"/>
        <w:jc w:val="both"/>
        <w:rPr>
          <w:bCs/>
          <w:sz w:val="28"/>
          <w:szCs w:val="28"/>
        </w:rPr>
      </w:pPr>
      <w:r>
        <w:rPr>
          <w:rFonts w:ascii="黑体" w:eastAsia="黑体" w:hAnsi="黑体" w:hint="eastAsia"/>
          <w:sz w:val="28"/>
          <w:szCs w:val="28"/>
        </w:rPr>
        <w:t>先修课程：</w:t>
      </w:r>
      <w:r>
        <w:rPr>
          <w:rFonts w:hint="eastAsia"/>
          <w:bCs/>
          <w:sz w:val="28"/>
          <w:szCs w:val="28"/>
        </w:rPr>
        <w:t>物流工程</w:t>
      </w:r>
    </w:p>
    <w:p w:rsidR="00B268C3" w:rsidRDefault="00B268C3">
      <w:pPr>
        <w:pStyle w:val="a8"/>
        <w:tabs>
          <w:tab w:val="left" w:pos="0"/>
        </w:tabs>
        <w:spacing w:before="0" w:after="0" w:line="560" w:lineRule="exact"/>
        <w:ind w:firstLineChars="200" w:firstLine="560"/>
        <w:jc w:val="both"/>
        <w:rPr>
          <w:bCs/>
          <w:sz w:val="28"/>
          <w:szCs w:val="28"/>
        </w:rPr>
      </w:pPr>
    </w:p>
    <w:p w:rsidR="00B268C3" w:rsidRDefault="003C6D38">
      <w:pPr>
        <w:spacing w:line="560" w:lineRule="exact"/>
        <w:ind w:firstLineChars="200" w:firstLine="480"/>
        <w:rPr>
          <w:rFonts w:ascii="黑体" w:eastAsia="黑体" w:hAnsi="黑体"/>
          <w:sz w:val="24"/>
          <w:szCs w:val="32"/>
        </w:rPr>
      </w:pPr>
      <w:r>
        <w:rPr>
          <w:rFonts w:ascii="黑体" w:eastAsia="黑体" w:hAnsi="黑体" w:hint="eastAsia"/>
          <w:sz w:val="24"/>
          <w:szCs w:val="32"/>
        </w:rPr>
        <w:t>一、教学目标</w:t>
      </w:r>
    </w:p>
    <w:p w:rsidR="00B268C3" w:rsidRDefault="003C6D38">
      <w:pPr>
        <w:pStyle w:val="a3"/>
        <w:spacing w:line="560" w:lineRule="exact"/>
        <w:rPr>
          <w:rFonts w:ascii="宋体" w:hAnsi="宋体"/>
        </w:rPr>
      </w:pPr>
      <w:r>
        <w:rPr>
          <w:rFonts w:ascii="宋体" w:hAnsi="宋体" w:hint="eastAsia"/>
        </w:rPr>
        <w:t>《供应链优化技术》是</w:t>
      </w:r>
      <w:r>
        <w:rPr>
          <w:rFonts w:ascii="宋体" w:hAnsi="宋体"/>
        </w:rPr>
        <w:t>工业工程专业学生的</w:t>
      </w:r>
      <w:r>
        <w:rPr>
          <w:rFonts w:ascii="宋体" w:hAnsi="宋体" w:hint="eastAsia"/>
        </w:rPr>
        <w:t>一门</w:t>
      </w:r>
      <w:r>
        <w:rPr>
          <w:rFonts w:ascii="宋体" w:hAnsi="宋体"/>
        </w:rPr>
        <w:t>专业选修课。</w:t>
      </w:r>
      <w:r>
        <w:rPr>
          <w:rFonts w:ascii="宋体" w:hAnsi="宋体" w:hint="eastAsia"/>
        </w:rPr>
        <w:t>通过</w:t>
      </w:r>
      <w:r>
        <w:rPr>
          <w:rFonts w:ascii="宋体" w:hAnsi="宋体"/>
        </w:rPr>
        <w:t>本课程的学习，</w:t>
      </w:r>
      <w:r>
        <w:rPr>
          <w:rFonts w:ascii="宋体" w:hAnsi="宋体" w:hint="eastAsia"/>
        </w:rPr>
        <w:t>在实现课程思政教学目标前提下，</w:t>
      </w:r>
      <w:r>
        <w:rPr>
          <w:rFonts w:ascii="宋体" w:hAnsi="宋体"/>
        </w:rPr>
        <w:t>使得工业工程学生</w:t>
      </w:r>
      <w:r>
        <w:rPr>
          <w:rFonts w:ascii="宋体" w:hAnsi="宋体" w:hint="eastAsia"/>
        </w:rPr>
        <w:t>能够认识到供应链管理</w:t>
      </w:r>
      <w:r>
        <w:rPr>
          <w:rFonts w:ascii="宋体" w:hAnsi="宋体"/>
        </w:rPr>
        <w:t>的重要性；并进一步掌握</w:t>
      </w:r>
      <w:r>
        <w:rPr>
          <w:rFonts w:ascii="宋体" w:hAnsi="宋体" w:hint="eastAsia"/>
          <w:kern w:val="0"/>
          <w:szCs w:val="21"/>
        </w:rPr>
        <w:t>供应链网络设计方法，</w:t>
      </w:r>
      <w:r>
        <w:rPr>
          <w:rFonts w:ascii="宋体" w:hAnsi="宋体" w:hint="eastAsia"/>
        </w:rPr>
        <w:t>供应链中供给与需求的计划与协调方法，以及</w:t>
      </w:r>
      <w:r>
        <w:rPr>
          <w:rFonts w:ascii="宋体" w:hAnsi="宋体"/>
        </w:rPr>
        <w:t>供应链的采购决策、定价和收益管理方法。</w:t>
      </w:r>
    </w:p>
    <w:p w:rsidR="00B268C3" w:rsidRDefault="003C6D38">
      <w:pPr>
        <w:pStyle w:val="a3"/>
        <w:spacing w:line="560" w:lineRule="exact"/>
        <w:rPr>
          <w:rFonts w:ascii="宋体" w:hAnsi="宋体"/>
        </w:rPr>
      </w:pPr>
      <w:r>
        <w:rPr>
          <w:rFonts w:ascii="宋体" w:hAnsi="宋体" w:hint="eastAsia"/>
        </w:rPr>
        <w:t>目标1：能够对</w:t>
      </w:r>
      <w:r>
        <w:rPr>
          <w:rFonts w:ascii="宋体" w:hAnsi="宋体"/>
        </w:rPr>
        <w:t>供应链网络设计进行决策</w:t>
      </w:r>
      <w:r>
        <w:rPr>
          <w:rFonts w:ascii="宋体" w:hAnsi="宋体" w:hint="eastAsia"/>
        </w:rPr>
        <w:t>；</w:t>
      </w:r>
    </w:p>
    <w:p w:rsidR="00B268C3" w:rsidRDefault="003C6D38">
      <w:pPr>
        <w:pStyle w:val="a3"/>
        <w:spacing w:line="560" w:lineRule="exact"/>
        <w:rPr>
          <w:rFonts w:ascii="宋体" w:hAnsi="宋体"/>
        </w:rPr>
      </w:pPr>
      <w:r>
        <w:rPr>
          <w:rFonts w:ascii="宋体" w:hAnsi="宋体" w:hint="eastAsia"/>
        </w:rPr>
        <w:t>目标2：能够对供应链中的供求进行协调</w:t>
      </w:r>
      <w:r>
        <w:rPr>
          <w:rFonts w:ascii="宋体" w:hAnsi="宋体"/>
        </w:rPr>
        <w:t>；</w:t>
      </w:r>
    </w:p>
    <w:p w:rsidR="00B268C3" w:rsidRDefault="003C6D38">
      <w:pPr>
        <w:pStyle w:val="a3"/>
        <w:spacing w:line="560" w:lineRule="exact"/>
        <w:rPr>
          <w:rFonts w:ascii="宋体" w:hAnsi="宋体"/>
        </w:rPr>
      </w:pPr>
      <w:r>
        <w:rPr>
          <w:rFonts w:ascii="宋体" w:hAnsi="宋体" w:hint="eastAsia"/>
        </w:rPr>
        <w:t>目标3：能够对供应链采购、定价和收益管理进行决策优化</w:t>
      </w:r>
      <w:r>
        <w:rPr>
          <w:rFonts w:ascii="宋体" w:hAnsi="宋体"/>
        </w:rPr>
        <w:t>。</w:t>
      </w:r>
    </w:p>
    <w:p w:rsidR="00B268C3" w:rsidRDefault="003C6D38">
      <w:pPr>
        <w:pStyle w:val="a3"/>
        <w:spacing w:line="560" w:lineRule="exact"/>
        <w:ind w:firstLine="482"/>
        <w:rPr>
          <w:rFonts w:ascii="宋体"/>
        </w:rPr>
      </w:pPr>
      <w:r>
        <w:rPr>
          <w:rFonts w:ascii="宋体" w:hint="eastAsia"/>
          <w:b/>
          <w:bCs/>
        </w:rPr>
        <w:t>课程思政目标</w:t>
      </w:r>
      <w:r>
        <w:rPr>
          <w:rFonts w:ascii="宋体" w:hint="eastAsia"/>
        </w:rPr>
        <w:t>：通过课程理论学习，培养学生以人为本、精益求精的做事哲理和不断改善、优化、创新的精髓所在，培养学生改革创新的时代精神。</w:t>
      </w:r>
    </w:p>
    <w:p w:rsidR="0005128D" w:rsidRDefault="0005128D">
      <w:pPr>
        <w:pStyle w:val="a3"/>
        <w:spacing w:line="560" w:lineRule="exact"/>
        <w:rPr>
          <w:rFonts w:ascii="宋体" w:hAnsi="宋体"/>
        </w:rPr>
      </w:pPr>
    </w:p>
    <w:p w:rsidR="00B268C3" w:rsidRDefault="003C6D38">
      <w:pPr>
        <w:spacing w:line="560" w:lineRule="exact"/>
        <w:ind w:firstLineChars="200" w:firstLine="480"/>
        <w:rPr>
          <w:rFonts w:ascii="仿宋_GB2312" w:eastAsia="仿宋_GB2312"/>
          <w:sz w:val="32"/>
          <w:szCs w:val="32"/>
        </w:rPr>
      </w:pPr>
      <w:r>
        <w:rPr>
          <w:rFonts w:ascii="黑体" w:eastAsia="黑体" w:hAnsi="黑体" w:hint="eastAsia"/>
          <w:bCs/>
          <w:sz w:val="24"/>
          <w:szCs w:val="32"/>
        </w:rPr>
        <w:lastRenderedPageBreak/>
        <w:t>二、教学内容及其与毕业要求的对应关系</w:t>
      </w:r>
    </w:p>
    <w:p w:rsidR="00B268C3" w:rsidRDefault="003C6D38">
      <w:pPr>
        <w:pStyle w:val="a3"/>
        <w:spacing w:line="560" w:lineRule="exact"/>
        <w:rPr>
          <w:rFonts w:ascii="宋体" w:hAnsi="宋体"/>
        </w:rPr>
      </w:pPr>
      <w:r>
        <w:rPr>
          <w:rFonts w:ascii="宋体" w:hAnsi="宋体" w:hint="eastAsia"/>
        </w:rPr>
        <w:t>本课程</w:t>
      </w:r>
      <w:r>
        <w:rPr>
          <w:rFonts w:ascii="宋体" w:hAnsi="宋体"/>
        </w:rPr>
        <w:t>教学内容的</w:t>
      </w:r>
      <w:r>
        <w:rPr>
          <w:rFonts w:ascii="宋体" w:hAnsi="宋体" w:hint="eastAsia"/>
        </w:rPr>
        <w:t>讲授方案</w:t>
      </w:r>
      <w:r>
        <w:rPr>
          <w:rFonts w:ascii="宋体" w:hAnsi="宋体"/>
        </w:rPr>
        <w:t>如下：</w:t>
      </w:r>
    </w:p>
    <w:p w:rsidR="00B268C3" w:rsidRDefault="003C6D38">
      <w:pPr>
        <w:pStyle w:val="a3"/>
        <w:numPr>
          <w:ilvl w:val="0"/>
          <w:numId w:val="1"/>
        </w:numPr>
        <w:spacing w:line="560" w:lineRule="exact"/>
        <w:ind w:firstLineChars="0"/>
        <w:rPr>
          <w:rFonts w:ascii="宋体" w:hAnsi="宋体"/>
        </w:rPr>
      </w:pPr>
      <w:r>
        <w:rPr>
          <w:rFonts w:ascii="宋体" w:hAnsi="宋体" w:hint="eastAsia"/>
        </w:rPr>
        <w:t>选讲供应链管理的基础理论；（理论</w:t>
      </w:r>
      <w:r>
        <w:rPr>
          <w:rFonts w:ascii="宋体" w:hAnsi="宋体"/>
        </w:rPr>
        <w:t>教学</w:t>
      </w:r>
      <w:r>
        <w:rPr>
          <w:rFonts w:ascii="宋体" w:hAnsi="宋体" w:hint="eastAsia"/>
        </w:rPr>
        <w:t>）</w:t>
      </w:r>
    </w:p>
    <w:p w:rsidR="00B268C3" w:rsidRDefault="003C6D38">
      <w:pPr>
        <w:pStyle w:val="a3"/>
        <w:spacing w:line="560" w:lineRule="exact"/>
        <w:rPr>
          <w:rFonts w:ascii="宋体" w:hAnsi="宋体"/>
        </w:rPr>
      </w:pPr>
      <w:r>
        <w:rPr>
          <w:rFonts w:ascii="宋体" w:hAnsi="宋体" w:hint="eastAsia"/>
        </w:rPr>
        <w:t>通过本部分内容的学习，能够知晓供应链的目标，识别供应链设计、计划和运作三个决策阶段。</w:t>
      </w:r>
    </w:p>
    <w:p w:rsidR="00B268C3" w:rsidRDefault="003C6D38">
      <w:pPr>
        <w:pStyle w:val="a3"/>
        <w:numPr>
          <w:ilvl w:val="0"/>
          <w:numId w:val="1"/>
        </w:numPr>
        <w:spacing w:line="560" w:lineRule="exact"/>
        <w:ind w:firstLineChars="0"/>
        <w:rPr>
          <w:rFonts w:ascii="宋体" w:hAnsi="宋体"/>
        </w:rPr>
      </w:pPr>
      <w:r>
        <w:rPr>
          <w:rFonts w:ascii="宋体" w:hAnsi="宋体" w:hint="eastAsia"/>
        </w:rPr>
        <w:t>细讲供应链网络设计方法。包括：分销网络的设计及其在网络销售中的应用；网络设计决策的实践；利用决策树评估网络设计决策。（理论+案例教学）</w:t>
      </w:r>
    </w:p>
    <w:p w:rsidR="00B268C3" w:rsidRDefault="003C6D38">
      <w:pPr>
        <w:pStyle w:val="a3"/>
        <w:spacing w:line="560" w:lineRule="exact"/>
        <w:rPr>
          <w:rFonts w:ascii="宋体" w:hAnsi="宋体"/>
        </w:rPr>
      </w:pPr>
      <w:r>
        <w:rPr>
          <w:rFonts w:ascii="宋体" w:hAnsi="宋体" w:hint="eastAsia"/>
        </w:rPr>
        <w:t>其中，案例教学过程中，通过实际供应链优化</w:t>
      </w:r>
      <w:r>
        <w:rPr>
          <w:rFonts w:ascii="宋体" w:hAnsi="宋体"/>
        </w:rPr>
        <w:t>案例，进行供应链网络设计决策</w:t>
      </w:r>
      <w:r>
        <w:rPr>
          <w:rFonts w:ascii="宋体" w:hAnsi="宋体" w:hint="eastAsia"/>
        </w:rPr>
        <w:t>。</w:t>
      </w:r>
    </w:p>
    <w:p w:rsidR="00B268C3" w:rsidRDefault="003C6D38">
      <w:pPr>
        <w:pStyle w:val="a3"/>
        <w:numPr>
          <w:ilvl w:val="0"/>
          <w:numId w:val="1"/>
        </w:numPr>
        <w:spacing w:line="560" w:lineRule="exact"/>
        <w:ind w:firstLineChars="0"/>
        <w:rPr>
          <w:rFonts w:ascii="宋体" w:hAnsi="宋体"/>
        </w:rPr>
      </w:pPr>
      <w:r>
        <w:rPr>
          <w:rFonts w:ascii="宋体" w:hAnsi="宋体" w:hint="eastAsia"/>
        </w:rPr>
        <w:t>精</w:t>
      </w:r>
      <w:r>
        <w:rPr>
          <w:rFonts w:ascii="宋体" w:hAnsi="宋体"/>
        </w:rPr>
        <w:t>讲供应链中供给与需求的计划和协调；以及供应链的采购、定价和收益决策。</w:t>
      </w:r>
      <w:r>
        <w:rPr>
          <w:rFonts w:ascii="宋体" w:hAnsi="宋体" w:hint="eastAsia"/>
        </w:rPr>
        <w:t>（理论</w:t>
      </w:r>
      <w:r>
        <w:rPr>
          <w:rFonts w:ascii="宋体" w:hAnsi="宋体"/>
        </w:rPr>
        <w:t>+案例教学</w:t>
      </w:r>
      <w:r>
        <w:rPr>
          <w:rFonts w:ascii="宋体" w:hAnsi="宋体" w:hint="eastAsia"/>
        </w:rPr>
        <w:t>）</w:t>
      </w:r>
    </w:p>
    <w:p w:rsidR="00B268C3" w:rsidRDefault="003C6D38">
      <w:pPr>
        <w:pStyle w:val="a3"/>
        <w:spacing w:line="560" w:lineRule="exact"/>
        <w:rPr>
          <w:rFonts w:ascii="宋体" w:hAnsi="宋体"/>
        </w:rPr>
      </w:pPr>
      <w:r>
        <w:rPr>
          <w:rFonts w:ascii="宋体" w:hAnsi="宋体" w:hint="eastAsia"/>
        </w:rPr>
        <w:t>其中，案例教学</w:t>
      </w:r>
      <w:r>
        <w:rPr>
          <w:rFonts w:ascii="宋体" w:hAnsi="宋体"/>
        </w:rPr>
        <w:t>过程中，</w:t>
      </w:r>
      <w:r>
        <w:rPr>
          <w:rFonts w:ascii="宋体" w:hAnsi="宋体" w:hint="eastAsia"/>
        </w:rPr>
        <w:t>通过实际供应链</w:t>
      </w:r>
      <w:r>
        <w:rPr>
          <w:rFonts w:ascii="宋体" w:hAnsi="宋体"/>
        </w:rPr>
        <w:t>优化案例，进行供应链决策与协调优化。</w:t>
      </w:r>
    </w:p>
    <w:p w:rsidR="0005128D" w:rsidRDefault="0005128D">
      <w:pPr>
        <w:pStyle w:val="a3"/>
        <w:spacing w:line="560" w:lineRule="exact"/>
        <w:rPr>
          <w:rFonts w:ascii="宋体" w:hAnsi="宋体"/>
        </w:rPr>
      </w:pPr>
    </w:p>
    <w:p w:rsidR="00B268C3" w:rsidRDefault="003C6D38">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w:t>
      </w:r>
    </w:p>
    <w:p w:rsidR="00B268C3" w:rsidRDefault="003C6D38">
      <w:pPr>
        <w:pStyle w:val="a3"/>
        <w:spacing w:line="560" w:lineRule="exact"/>
        <w:rPr>
          <w:rFonts w:ascii="宋体" w:hAnsi="宋体"/>
        </w:rPr>
      </w:pPr>
      <w:r>
        <w:rPr>
          <w:rFonts w:ascii="宋体" w:hAnsi="宋体" w:hint="eastAsia"/>
        </w:rPr>
        <w:t>以表格方式表现各章节的学时分配，表格如下：</w:t>
      </w:r>
      <w:r w:rsidR="0005128D">
        <w:rPr>
          <w:rFonts w:ascii="宋体" w:hAnsi="宋体"/>
        </w:rPr>
        <w:t xml:space="preserve"> </w:t>
      </w:r>
    </w:p>
    <w:p w:rsidR="00B268C3" w:rsidRDefault="003C6D38">
      <w:pPr>
        <w:spacing w:line="560" w:lineRule="exact"/>
        <w:jc w:val="center"/>
        <w:rPr>
          <w:rFonts w:ascii="宋体" w:hAnsi="宋体"/>
          <w:b/>
          <w:bCs/>
          <w:sz w:val="24"/>
        </w:rPr>
      </w:pPr>
      <w:r>
        <w:rPr>
          <w:rFonts w:ascii="宋体" w:hAnsi="宋体" w:hint="eastAsia"/>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35"/>
        <w:gridCol w:w="3060"/>
        <w:gridCol w:w="1080"/>
        <w:gridCol w:w="1080"/>
        <w:gridCol w:w="1080"/>
        <w:gridCol w:w="885"/>
      </w:tblGrid>
      <w:tr w:rsidR="00B268C3">
        <w:trPr>
          <w:trHeight w:val="420"/>
        </w:trPr>
        <w:tc>
          <w:tcPr>
            <w:tcW w:w="735" w:type="dxa"/>
            <w:tcBorders>
              <w:top w:val="single" w:sz="4" w:space="0" w:color="auto"/>
              <w:bottom w:val="single" w:sz="4" w:space="0" w:color="auto"/>
              <w:right w:val="single" w:sz="4" w:space="0" w:color="auto"/>
            </w:tcBorders>
            <w:vAlign w:val="center"/>
          </w:tcPr>
          <w:p w:rsidR="00B268C3" w:rsidRDefault="003C6D38">
            <w:pPr>
              <w:spacing w:line="560" w:lineRule="exact"/>
              <w:ind w:leftChars="-7" w:left="-15"/>
              <w:jc w:val="center"/>
              <w:rPr>
                <w:rFonts w:ascii="宋体" w:hAnsi="宋体"/>
                <w:sz w:val="24"/>
              </w:rPr>
            </w:pPr>
            <w:r>
              <w:rPr>
                <w:rFonts w:ascii="宋体" w:hAnsi="宋体" w:hint="eastAsia"/>
                <w:sz w:val="24"/>
              </w:rPr>
              <w:t>序号</w:t>
            </w:r>
          </w:p>
        </w:tc>
        <w:tc>
          <w:tcPr>
            <w:tcW w:w="3060" w:type="dxa"/>
            <w:tcBorders>
              <w:top w:val="single" w:sz="4" w:space="0" w:color="auto"/>
              <w:left w:val="single" w:sz="4" w:space="0" w:color="auto"/>
              <w:bottom w:val="single" w:sz="4" w:space="0" w:color="auto"/>
              <w:right w:val="single" w:sz="4" w:space="0" w:color="auto"/>
            </w:tcBorders>
            <w:vAlign w:val="center"/>
          </w:tcPr>
          <w:p w:rsidR="00B268C3" w:rsidRDefault="003C6D38">
            <w:pPr>
              <w:spacing w:line="560" w:lineRule="exact"/>
              <w:jc w:val="center"/>
              <w:rPr>
                <w:rFonts w:ascii="宋体" w:hAnsi="宋体"/>
                <w:sz w:val="24"/>
              </w:rPr>
            </w:pPr>
            <w:r>
              <w:rPr>
                <w:rFonts w:ascii="宋体" w:hAnsi="宋体" w:hint="eastAsia"/>
                <w:color w:val="000000"/>
                <w:sz w:val="24"/>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B268C3" w:rsidRDefault="003C6D38">
            <w:pPr>
              <w:spacing w:line="560" w:lineRule="exact"/>
              <w:jc w:val="center"/>
              <w:rPr>
                <w:rFonts w:ascii="宋体" w:hAnsi="宋体"/>
                <w:sz w:val="24"/>
              </w:rPr>
            </w:pPr>
            <w:r>
              <w:rPr>
                <w:rFonts w:ascii="宋体" w:hAnsi="宋体" w:hint="eastAsia"/>
                <w:sz w:val="24"/>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B268C3" w:rsidRDefault="003C6D38">
            <w:pPr>
              <w:spacing w:line="560" w:lineRule="exact"/>
              <w:jc w:val="center"/>
              <w:rPr>
                <w:rFonts w:ascii="宋体" w:hAnsi="宋体"/>
                <w:sz w:val="24"/>
              </w:rPr>
            </w:pPr>
            <w:r>
              <w:rPr>
                <w:rFonts w:ascii="宋体" w:hAnsi="宋体"/>
                <w:sz w:val="24"/>
              </w:rPr>
              <w:t>案例</w:t>
            </w:r>
          </w:p>
          <w:p w:rsidR="00B268C3" w:rsidRDefault="003C6D38">
            <w:pPr>
              <w:spacing w:line="560" w:lineRule="exact"/>
              <w:jc w:val="center"/>
              <w:rPr>
                <w:rFonts w:ascii="宋体" w:hAnsi="宋体"/>
                <w:sz w:val="24"/>
              </w:rPr>
            </w:pPr>
            <w:r>
              <w:rPr>
                <w:rFonts w:ascii="宋体" w:hAnsi="宋体"/>
                <w:sz w:val="24"/>
              </w:rPr>
              <w:t>教学</w:t>
            </w:r>
          </w:p>
        </w:tc>
        <w:tc>
          <w:tcPr>
            <w:tcW w:w="1080" w:type="dxa"/>
            <w:tcBorders>
              <w:top w:val="single" w:sz="4" w:space="0" w:color="auto"/>
              <w:left w:val="single" w:sz="4" w:space="0" w:color="auto"/>
              <w:bottom w:val="single" w:sz="4" w:space="0" w:color="auto"/>
              <w:right w:val="single" w:sz="4" w:space="0" w:color="auto"/>
            </w:tcBorders>
            <w:vAlign w:val="center"/>
          </w:tcPr>
          <w:p w:rsidR="00B268C3" w:rsidRDefault="003C6D38">
            <w:pPr>
              <w:spacing w:line="560" w:lineRule="exact"/>
              <w:jc w:val="center"/>
              <w:rPr>
                <w:rFonts w:ascii="宋体" w:hAnsi="宋体"/>
                <w:sz w:val="24"/>
              </w:rPr>
            </w:pPr>
            <w:r>
              <w:rPr>
                <w:rFonts w:ascii="宋体" w:hAnsi="宋体" w:hint="eastAsia"/>
                <w:color w:val="000000"/>
                <w:sz w:val="24"/>
              </w:rPr>
              <w:t>其他</w:t>
            </w:r>
          </w:p>
        </w:tc>
        <w:tc>
          <w:tcPr>
            <w:tcW w:w="885" w:type="dxa"/>
            <w:tcBorders>
              <w:top w:val="single" w:sz="4" w:space="0" w:color="auto"/>
              <w:left w:val="single" w:sz="4" w:space="0" w:color="auto"/>
              <w:bottom w:val="single" w:sz="4" w:space="0" w:color="auto"/>
            </w:tcBorders>
            <w:vAlign w:val="center"/>
          </w:tcPr>
          <w:p w:rsidR="00B268C3" w:rsidRDefault="003C6D38">
            <w:pPr>
              <w:spacing w:line="560" w:lineRule="exact"/>
              <w:jc w:val="center"/>
              <w:rPr>
                <w:rFonts w:ascii="宋体" w:hAnsi="宋体"/>
                <w:sz w:val="24"/>
              </w:rPr>
            </w:pPr>
            <w:r>
              <w:rPr>
                <w:rFonts w:ascii="宋体" w:hAnsi="宋体" w:hint="eastAsia"/>
                <w:color w:val="000000"/>
                <w:sz w:val="24"/>
              </w:rPr>
              <w:t>合计</w:t>
            </w:r>
          </w:p>
        </w:tc>
      </w:tr>
      <w:tr w:rsidR="00B268C3">
        <w:trPr>
          <w:trHeight w:val="375"/>
        </w:trPr>
        <w:tc>
          <w:tcPr>
            <w:tcW w:w="735" w:type="dxa"/>
            <w:tcBorders>
              <w:top w:val="single" w:sz="4" w:space="0" w:color="auto"/>
              <w:bottom w:val="single" w:sz="4" w:space="0" w:color="auto"/>
              <w:right w:val="single" w:sz="4" w:space="0" w:color="auto"/>
            </w:tcBorders>
          </w:tcPr>
          <w:p w:rsidR="00B268C3" w:rsidRDefault="003C6D38">
            <w:pPr>
              <w:spacing w:line="560" w:lineRule="exact"/>
              <w:jc w:val="center"/>
              <w:rPr>
                <w:rFonts w:ascii="宋体" w:hAnsi="宋体"/>
                <w:bCs/>
                <w:sz w:val="24"/>
              </w:rPr>
            </w:pPr>
            <w:r>
              <w:rPr>
                <w:rFonts w:ascii="宋体" w:hAnsi="宋体" w:hint="eastAsia"/>
                <w:bCs/>
                <w:sz w:val="24"/>
              </w:rPr>
              <w:t>1</w:t>
            </w:r>
          </w:p>
        </w:tc>
        <w:tc>
          <w:tcPr>
            <w:tcW w:w="3060" w:type="dxa"/>
            <w:tcBorders>
              <w:top w:val="single" w:sz="4" w:space="0" w:color="auto"/>
              <w:left w:val="single" w:sz="4" w:space="0" w:color="auto"/>
              <w:bottom w:val="single" w:sz="4" w:space="0" w:color="auto"/>
              <w:right w:val="single" w:sz="4" w:space="0" w:color="auto"/>
            </w:tcBorders>
          </w:tcPr>
          <w:p w:rsidR="00B268C3" w:rsidRDefault="003C6D38">
            <w:pPr>
              <w:spacing w:line="560" w:lineRule="exact"/>
              <w:jc w:val="center"/>
              <w:rPr>
                <w:rFonts w:ascii="宋体" w:hAnsi="宋体"/>
                <w:b/>
                <w:bCs/>
                <w:sz w:val="24"/>
              </w:rPr>
            </w:pPr>
            <w:r>
              <w:rPr>
                <w:rFonts w:ascii="宋体" w:hAnsi="宋体" w:hint="eastAsia"/>
                <w:sz w:val="24"/>
              </w:rPr>
              <w:t>供应链</w:t>
            </w:r>
            <w:r>
              <w:rPr>
                <w:rFonts w:ascii="宋体" w:hAnsi="宋体"/>
                <w:sz w:val="24"/>
              </w:rPr>
              <w:t>管理概述</w:t>
            </w:r>
          </w:p>
        </w:tc>
        <w:tc>
          <w:tcPr>
            <w:tcW w:w="1080" w:type="dxa"/>
            <w:tcBorders>
              <w:top w:val="single" w:sz="4" w:space="0" w:color="auto"/>
              <w:left w:val="single" w:sz="4" w:space="0" w:color="auto"/>
              <w:bottom w:val="single" w:sz="4" w:space="0" w:color="auto"/>
              <w:right w:val="single" w:sz="4" w:space="0" w:color="auto"/>
            </w:tcBorders>
          </w:tcPr>
          <w:p w:rsidR="00B268C3" w:rsidRDefault="003C6D38">
            <w:pPr>
              <w:spacing w:line="560" w:lineRule="exact"/>
              <w:jc w:val="center"/>
              <w:rPr>
                <w:rFonts w:ascii="宋体" w:hAnsi="宋体"/>
                <w:b/>
                <w:bCs/>
                <w:sz w:val="24"/>
              </w:rPr>
            </w:pPr>
            <w:r>
              <w:rPr>
                <w:rFonts w:ascii="宋体" w:hAnsi="宋体" w:hint="eastAsia"/>
                <w:b/>
                <w:bCs/>
                <w:sz w:val="24"/>
              </w:rPr>
              <w:t>2</w:t>
            </w:r>
          </w:p>
        </w:tc>
        <w:tc>
          <w:tcPr>
            <w:tcW w:w="1080" w:type="dxa"/>
            <w:tcBorders>
              <w:top w:val="single" w:sz="4" w:space="0" w:color="auto"/>
              <w:left w:val="single" w:sz="4" w:space="0" w:color="auto"/>
              <w:bottom w:val="single" w:sz="4" w:space="0" w:color="auto"/>
              <w:right w:val="single" w:sz="4" w:space="0" w:color="auto"/>
            </w:tcBorders>
          </w:tcPr>
          <w:p w:rsidR="00B268C3" w:rsidRDefault="00B268C3">
            <w:pPr>
              <w:spacing w:line="560" w:lineRule="exact"/>
              <w:jc w:val="center"/>
              <w:rPr>
                <w:rFonts w:ascii="宋体" w:hAnsi="宋体"/>
                <w:b/>
                <w:bCs/>
                <w:sz w:val="24"/>
              </w:rPr>
            </w:pPr>
          </w:p>
        </w:tc>
        <w:tc>
          <w:tcPr>
            <w:tcW w:w="1080" w:type="dxa"/>
            <w:tcBorders>
              <w:top w:val="single" w:sz="4" w:space="0" w:color="auto"/>
              <w:left w:val="single" w:sz="4" w:space="0" w:color="auto"/>
              <w:bottom w:val="single" w:sz="4" w:space="0" w:color="auto"/>
              <w:right w:val="single" w:sz="4" w:space="0" w:color="auto"/>
            </w:tcBorders>
          </w:tcPr>
          <w:p w:rsidR="00B268C3" w:rsidRDefault="00B268C3">
            <w:pPr>
              <w:spacing w:line="560" w:lineRule="exact"/>
              <w:jc w:val="center"/>
              <w:rPr>
                <w:rFonts w:ascii="宋体" w:hAnsi="宋体"/>
                <w:b/>
                <w:bCs/>
                <w:sz w:val="24"/>
              </w:rPr>
            </w:pPr>
          </w:p>
        </w:tc>
        <w:tc>
          <w:tcPr>
            <w:tcW w:w="885" w:type="dxa"/>
            <w:tcBorders>
              <w:top w:val="single" w:sz="4" w:space="0" w:color="auto"/>
              <w:left w:val="single" w:sz="4" w:space="0" w:color="auto"/>
              <w:bottom w:val="single" w:sz="4" w:space="0" w:color="auto"/>
            </w:tcBorders>
          </w:tcPr>
          <w:p w:rsidR="00B268C3" w:rsidRDefault="00B268C3">
            <w:pPr>
              <w:spacing w:line="560" w:lineRule="exact"/>
              <w:jc w:val="center"/>
              <w:rPr>
                <w:rFonts w:ascii="宋体" w:hAnsi="宋体"/>
                <w:b/>
                <w:bCs/>
                <w:sz w:val="24"/>
              </w:rPr>
            </w:pPr>
          </w:p>
        </w:tc>
      </w:tr>
      <w:tr w:rsidR="00B268C3">
        <w:trPr>
          <w:trHeight w:val="540"/>
        </w:trPr>
        <w:tc>
          <w:tcPr>
            <w:tcW w:w="735" w:type="dxa"/>
            <w:tcBorders>
              <w:top w:val="single" w:sz="4" w:space="0" w:color="auto"/>
              <w:bottom w:val="single" w:sz="4" w:space="0" w:color="auto"/>
              <w:right w:val="single" w:sz="4" w:space="0" w:color="auto"/>
            </w:tcBorders>
          </w:tcPr>
          <w:p w:rsidR="00B268C3" w:rsidRDefault="003C6D38">
            <w:pPr>
              <w:spacing w:line="560" w:lineRule="exact"/>
              <w:jc w:val="center"/>
              <w:rPr>
                <w:rFonts w:ascii="宋体" w:hAnsi="宋体"/>
                <w:bCs/>
                <w:sz w:val="24"/>
              </w:rPr>
            </w:pPr>
            <w:r>
              <w:rPr>
                <w:rFonts w:ascii="宋体" w:hAnsi="宋体" w:hint="eastAsia"/>
                <w:bCs/>
                <w:sz w:val="24"/>
              </w:rPr>
              <w:t>2</w:t>
            </w:r>
          </w:p>
        </w:tc>
        <w:tc>
          <w:tcPr>
            <w:tcW w:w="3060" w:type="dxa"/>
            <w:tcBorders>
              <w:top w:val="single" w:sz="4" w:space="0" w:color="auto"/>
              <w:left w:val="single" w:sz="4" w:space="0" w:color="auto"/>
              <w:bottom w:val="single" w:sz="4" w:space="0" w:color="auto"/>
              <w:right w:val="single" w:sz="4" w:space="0" w:color="auto"/>
            </w:tcBorders>
          </w:tcPr>
          <w:p w:rsidR="00B268C3" w:rsidRDefault="003C6D38">
            <w:pPr>
              <w:spacing w:line="560" w:lineRule="exact"/>
              <w:jc w:val="center"/>
              <w:rPr>
                <w:rFonts w:ascii="宋体" w:hAnsi="宋体"/>
                <w:bCs/>
                <w:sz w:val="24"/>
              </w:rPr>
            </w:pPr>
            <w:r>
              <w:rPr>
                <w:rFonts w:ascii="宋体" w:hAnsi="宋体"/>
                <w:bCs/>
                <w:sz w:val="24"/>
              </w:rPr>
              <w:t>分销网络的设计决策</w:t>
            </w:r>
          </w:p>
        </w:tc>
        <w:tc>
          <w:tcPr>
            <w:tcW w:w="1080" w:type="dxa"/>
            <w:tcBorders>
              <w:top w:val="single" w:sz="4" w:space="0" w:color="auto"/>
              <w:left w:val="single" w:sz="4" w:space="0" w:color="auto"/>
              <w:bottom w:val="single" w:sz="4" w:space="0" w:color="auto"/>
              <w:right w:val="single" w:sz="4" w:space="0" w:color="auto"/>
            </w:tcBorders>
          </w:tcPr>
          <w:p w:rsidR="00B268C3" w:rsidRDefault="003C6D38">
            <w:pPr>
              <w:spacing w:line="560" w:lineRule="exact"/>
              <w:jc w:val="center"/>
              <w:rPr>
                <w:rFonts w:ascii="宋体" w:hAnsi="宋体"/>
                <w:b/>
                <w:bCs/>
                <w:sz w:val="24"/>
              </w:rPr>
            </w:pPr>
            <w:r>
              <w:rPr>
                <w:rFonts w:ascii="宋体" w:hAnsi="宋体" w:hint="eastAsia"/>
                <w:b/>
                <w:bCs/>
                <w:sz w:val="24"/>
              </w:rPr>
              <w:t>4</w:t>
            </w:r>
          </w:p>
        </w:tc>
        <w:tc>
          <w:tcPr>
            <w:tcW w:w="1080" w:type="dxa"/>
            <w:tcBorders>
              <w:top w:val="single" w:sz="4" w:space="0" w:color="auto"/>
              <w:left w:val="single" w:sz="4" w:space="0" w:color="auto"/>
              <w:bottom w:val="single" w:sz="4" w:space="0" w:color="auto"/>
              <w:right w:val="single" w:sz="4" w:space="0" w:color="auto"/>
            </w:tcBorders>
          </w:tcPr>
          <w:p w:rsidR="00B268C3" w:rsidRDefault="00B268C3">
            <w:pPr>
              <w:spacing w:line="560" w:lineRule="exact"/>
              <w:jc w:val="center"/>
              <w:rPr>
                <w:rFonts w:ascii="宋体" w:hAnsi="宋体"/>
                <w:b/>
                <w:bCs/>
                <w:sz w:val="24"/>
              </w:rPr>
            </w:pPr>
          </w:p>
        </w:tc>
        <w:tc>
          <w:tcPr>
            <w:tcW w:w="1080" w:type="dxa"/>
            <w:tcBorders>
              <w:top w:val="single" w:sz="4" w:space="0" w:color="auto"/>
              <w:left w:val="single" w:sz="4" w:space="0" w:color="auto"/>
              <w:bottom w:val="single" w:sz="4" w:space="0" w:color="auto"/>
              <w:right w:val="single" w:sz="4" w:space="0" w:color="auto"/>
            </w:tcBorders>
          </w:tcPr>
          <w:p w:rsidR="00B268C3" w:rsidRDefault="00B268C3">
            <w:pPr>
              <w:spacing w:line="560" w:lineRule="exact"/>
              <w:jc w:val="center"/>
              <w:rPr>
                <w:rFonts w:ascii="宋体" w:hAnsi="宋体"/>
                <w:b/>
                <w:bCs/>
                <w:sz w:val="24"/>
              </w:rPr>
            </w:pPr>
          </w:p>
        </w:tc>
        <w:tc>
          <w:tcPr>
            <w:tcW w:w="885" w:type="dxa"/>
            <w:tcBorders>
              <w:top w:val="single" w:sz="4" w:space="0" w:color="auto"/>
              <w:left w:val="single" w:sz="4" w:space="0" w:color="auto"/>
              <w:bottom w:val="single" w:sz="4" w:space="0" w:color="auto"/>
            </w:tcBorders>
          </w:tcPr>
          <w:p w:rsidR="00B268C3" w:rsidRDefault="00B268C3">
            <w:pPr>
              <w:spacing w:line="560" w:lineRule="exact"/>
              <w:jc w:val="center"/>
              <w:rPr>
                <w:rFonts w:ascii="宋体" w:hAnsi="宋体"/>
                <w:b/>
                <w:bCs/>
                <w:sz w:val="24"/>
              </w:rPr>
            </w:pPr>
          </w:p>
        </w:tc>
      </w:tr>
      <w:tr w:rsidR="00B268C3">
        <w:trPr>
          <w:trHeight w:val="540"/>
        </w:trPr>
        <w:tc>
          <w:tcPr>
            <w:tcW w:w="735" w:type="dxa"/>
            <w:tcBorders>
              <w:top w:val="single" w:sz="4" w:space="0" w:color="auto"/>
              <w:bottom w:val="single" w:sz="4" w:space="0" w:color="auto"/>
              <w:right w:val="single" w:sz="4" w:space="0" w:color="auto"/>
            </w:tcBorders>
          </w:tcPr>
          <w:p w:rsidR="00B268C3" w:rsidRDefault="003C6D38">
            <w:pPr>
              <w:spacing w:line="560" w:lineRule="exact"/>
              <w:jc w:val="center"/>
              <w:rPr>
                <w:rFonts w:ascii="宋体" w:hAnsi="宋体"/>
                <w:bCs/>
                <w:sz w:val="24"/>
              </w:rPr>
            </w:pPr>
            <w:r>
              <w:rPr>
                <w:rFonts w:ascii="宋体" w:hAnsi="宋体" w:hint="eastAsia"/>
                <w:bCs/>
                <w:sz w:val="24"/>
              </w:rPr>
              <w:t>3</w:t>
            </w:r>
          </w:p>
        </w:tc>
        <w:tc>
          <w:tcPr>
            <w:tcW w:w="3060" w:type="dxa"/>
            <w:tcBorders>
              <w:top w:val="single" w:sz="4" w:space="0" w:color="auto"/>
              <w:left w:val="single" w:sz="4" w:space="0" w:color="auto"/>
              <w:bottom w:val="single" w:sz="4" w:space="0" w:color="auto"/>
              <w:right w:val="single" w:sz="4" w:space="0" w:color="auto"/>
            </w:tcBorders>
          </w:tcPr>
          <w:p w:rsidR="00B268C3" w:rsidRDefault="003C6D38">
            <w:pPr>
              <w:spacing w:line="560" w:lineRule="exact"/>
              <w:jc w:val="center"/>
              <w:rPr>
                <w:rFonts w:ascii="宋体" w:hAnsi="宋体"/>
                <w:bCs/>
                <w:sz w:val="24"/>
              </w:rPr>
            </w:pPr>
            <w:r>
              <w:rPr>
                <w:rFonts w:ascii="宋体" w:hAnsi="宋体"/>
                <w:bCs/>
                <w:sz w:val="24"/>
              </w:rPr>
              <w:t>供应链的网络设计决策</w:t>
            </w:r>
          </w:p>
        </w:tc>
        <w:tc>
          <w:tcPr>
            <w:tcW w:w="1080" w:type="dxa"/>
            <w:tcBorders>
              <w:top w:val="single" w:sz="4" w:space="0" w:color="auto"/>
              <w:left w:val="single" w:sz="4" w:space="0" w:color="auto"/>
              <w:bottom w:val="single" w:sz="4" w:space="0" w:color="auto"/>
              <w:right w:val="single" w:sz="4" w:space="0" w:color="auto"/>
            </w:tcBorders>
          </w:tcPr>
          <w:p w:rsidR="00B268C3" w:rsidRDefault="003C6D38">
            <w:pPr>
              <w:spacing w:line="560" w:lineRule="exact"/>
              <w:jc w:val="center"/>
              <w:rPr>
                <w:rFonts w:ascii="宋体" w:hAnsi="宋体"/>
                <w:b/>
                <w:bCs/>
                <w:sz w:val="24"/>
              </w:rPr>
            </w:pPr>
            <w:r>
              <w:rPr>
                <w:rFonts w:ascii="宋体" w:hAnsi="宋体" w:hint="eastAsia"/>
                <w:b/>
                <w:bCs/>
                <w:sz w:val="24"/>
              </w:rPr>
              <w:t>4</w:t>
            </w:r>
          </w:p>
        </w:tc>
        <w:tc>
          <w:tcPr>
            <w:tcW w:w="1080" w:type="dxa"/>
            <w:tcBorders>
              <w:top w:val="single" w:sz="4" w:space="0" w:color="auto"/>
              <w:left w:val="single" w:sz="4" w:space="0" w:color="auto"/>
              <w:bottom w:val="single" w:sz="4" w:space="0" w:color="auto"/>
              <w:right w:val="single" w:sz="4" w:space="0" w:color="auto"/>
            </w:tcBorders>
          </w:tcPr>
          <w:p w:rsidR="00B268C3" w:rsidRDefault="003C6D38">
            <w:pPr>
              <w:spacing w:line="560" w:lineRule="exact"/>
              <w:jc w:val="center"/>
              <w:rPr>
                <w:rFonts w:ascii="宋体" w:hAnsi="宋体"/>
                <w:b/>
                <w:bCs/>
                <w:sz w:val="24"/>
              </w:rPr>
            </w:pPr>
            <w:r>
              <w:rPr>
                <w:rFonts w:ascii="宋体" w:hAnsi="宋体" w:hint="eastAsia"/>
                <w:b/>
                <w:bCs/>
                <w:sz w:val="24"/>
              </w:rPr>
              <w:t>2</w:t>
            </w:r>
          </w:p>
        </w:tc>
        <w:tc>
          <w:tcPr>
            <w:tcW w:w="1080" w:type="dxa"/>
            <w:tcBorders>
              <w:top w:val="single" w:sz="4" w:space="0" w:color="auto"/>
              <w:left w:val="single" w:sz="4" w:space="0" w:color="auto"/>
              <w:bottom w:val="single" w:sz="4" w:space="0" w:color="auto"/>
              <w:right w:val="single" w:sz="4" w:space="0" w:color="auto"/>
            </w:tcBorders>
          </w:tcPr>
          <w:p w:rsidR="00B268C3" w:rsidRDefault="00B268C3">
            <w:pPr>
              <w:spacing w:line="560" w:lineRule="exact"/>
              <w:jc w:val="center"/>
              <w:rPr>
                <w:rFonts w:ascii="宋体" w:hAnsi="宋体"/>
                <w:b/>
                <w:bCs/>
                <w:sz w:val="24"/>
              </w:rPr>
            </w:pPr>
          </w:p>
        </w:tc>
        <w:tc>
          <w:tcPr>
            <w:tcW w:w="885" w:type="dxa"/>
            <w:tcBorders>
              <w:top w:val="single" w:sz="4" w:space="0" w:color="auto"/>
              <w:left w:val="single" w:sz="4" w:space="0" w:color="auto"/>
              <w:bottom w:val="single" w:sz="4" w:space="0" w:color="auto"/>
            </w:tcBorders>
          </w:tcPr>
          <w:p w:rsidR="00B268C3" w:rsidRDefault="00B268C3">
            <w:pPr>
              <w:spacing w:line="560" w:lineRule="exact"/>
              <w:jc w:val="center"/>
              <w:rPr>
                <w:rFonts w:ascii="宋体" w:hAnsi="宋体"/>
                <w:b/>
                <w:bCs/>
                <w:sz w:val="24"/>
              </w:rPr>
            </w:pPr>
          </w:p>
        </w:tc>
      </w:tr>
      <w:tr w:rsidR="00B268C3">
        <w:trPr>
          <w:trHeight w:val="540"/>
        </w:trPr>
        <w:tc>
          <w:tcPr>
            <w:tcW w:w="735" w:type="dxa"/>
            <w:tcBorders>
              <w:top w:val="single" w:sz="4" w:space="0" w:color="auto"/>
              <w:bottom w:val="single" w:sz="4" w:space="0" w:color="auto"/>
              <w:right w:val="single" w:sz="4" w:space="0" w:color="auto"/>
            </w:tcBorders>
          </w:tcPr>
          <w:p w:rsidR="00B268C3" w:rsidRDefault="003C6D38">
            <w:pPr>
              <w:spacing w:line="560" w:lineRule="exact"/>
              <w:jc w:val="center"/>
              <w:rPr>
                <w:rFonts w:ascii="宋体" w:hAnsi="宋体"/>
                <w:bCs/>
                <w:sz w:val="24"/>
              </w:rPr>
            </w:pPr>
            <w:r>
              <w:rPr>
                <w:rFonts w:ascii="宋体" w:hAnsi="宋体" w:hint="eastAsia"/>
                <w:bCs/>
                <w:sz w:val="24"/>
              </w:rPr>
              <w:t>4</w:t>
            </w:r>
          </w:p>
        </w:tc>
        <w:tc>
          <w:tcPr>
            <w:tcW w:w="3060" w:type="dxa"/>
            <w:tcBorders>
              <w:top w:val="single" w:sz="4" w:space="0" w:color="auto"/>
              <w:left w:val="single" w:sz="4" w:space="0" w:color="auto"/>
              <w:bottom w:val="single" w:sz="4" w:space="0" w:color="auto"/>
              <w:right w:val="single" w:sz="4" w:space="0" w:color="auto"/>
            </w:tcBorders>
          </w:tcPr>
          <w:p w:rsidR="00B268C3" w:rsidRDefault="003C6D38">
            <w:pPr>
              <w:spacing w:line="560" w:lineRule="exact"/>
              <w:jc w:val="center"/>
              <w:rPr>
                <w:rFonts w:ascii="宋体" w:hAnsi="宋体"/>
                <w:bCs/>
                <w:sz w:val="24"/>
              </w:rPr>
            </w:pPr>
            <w:r>
              <w:rPr>
                <w:rFonts w:ascii="宋体" w:hAnsi="宋体"/>
                <w:bCs/>
                <w:sz w:val="24"/>
              </w:rPr>
              <w:t>供应链中的需求预测</w:t>
            </w:r>
          </w:p>
        </w:tc>
        <w:tc>
          <w:tcPr>
            <w:tcW w:w="1080" w:type="dxa"/>
            <w:tcBorders>
              <w:top w:val="single" w:sz="4" w:space="0" w:color="auto"/>
              <w:left w:val="single" w:sz="4" w:space="0" w:color="auto"/>
              <w:bottom w:val="single" w:sz="4" w:space="0" w:color="auto"/>
              <w:right w:val="single" w:sz="4" w:space="0" w:color="auto"/>
            </w:tcBorders>
          </w:tcPr>
          <w:p w:rsidR="00B268C3" w:rsidRDefault="003C6D38">
            <w:pPr>
              <w:spacing w:line="560" w:lineRule="exact"/>
              <w:jc w:val="center"/>
              <w:rPr>
                <w:rFonts w:ascii="宋体" w:hAnsi="宋体"/>
                <w:b/>
                <w:bCs/>
                <w:sz w:val="24"/>
              </w:rPr>
            </w:pPr>
            <w:r>
              <w:rPr>
                <w:rFonts w:ascii="宋体" w:hAnsi="宋体" w:hint="eastAsia"/>
                <w:b/>
                <w:bCs/>
                <w:sz w:val="24"/>
              </w:rPr>
              <w:t>4</w:t>
            </w:r>
          </w:p>
        </w:tc>
        <w:tc>
          <w:tcPr>
            <w:tcW w:w="1080" w:type="dxa"/>
            <w:tcBorders>
              <w:top w:val="single" w:sz="4" w:space="0" w:color="auto"/>
              <w:left w:val="single" w:sz="4" w:space="0" w:color="auto"/>
              <w:bottom w:val="single" w:sz="4" w:space="0" w:color="auto"/>
              <w:right w:val="single" w:sz="4" w:space="0" w:color="auto"/>
            </w:tcBorders>
          </w:tcPr>
          <w:p w:rsidR="00B268C3" w:rsidRDefault="00B268C3">
            <w:pPr>
              <w:spacing w:line="560" w:lineRule="exact"/>
              <w:jc w:val="center"/>
              <w:rPr>
                <w:rFonts w:ascii="宋体" w:hAnsi="宋体"/>
                <w:b/>
                <w:bCs/>
                <w:sz w:val="24"/>
              </w:rPr>
            </w:pPr>
          </w:p>
        </w:tc>
        <w:tc>
          <w:tcPr>
            <w:tcW w:w="1080" w:type="dxa"/>
            <w:tcBorders>
              <w:top w:val="single" w:sz="4" w:space="0" w:color="auto"/>
              <w:left w:val="single" w:sz="4" w:space="0" w:color="auto"/>
              <w:bottom w:val="single" w:sz="4" w:space="0" w:color="auto"/>
              <w:right w:val="single" w:sz="4" w:space="0" w:color="auto"/>
            </w:tcBorders>
          </w:tcPr>
          <w:p w:rsidR="00B268C3" w:rsidRDefault="00B268C3">
            <w:pPr>
              <w:spacing w:line="560" w:lineRule="exact"/>
              <w:jc w:val="center"/>
              <w:rPr>
                <w:rFonts w:ascii="宋体" w:hAnsi="宋体"/>
                <w:b/>
                <w:bCs/>
                <w:sz w:val="24"/>
              </w:rPr>
            </w:pPr>
          </w:p>
        </w:tc>
        <w:tc>
          <w:tcPr>
            <w:tcW w:w="885" w:type="dxa"/>
            <w:tcBorders>
              <w:top w:val="single" w:sz="4" w:space="0" w:color="auto"/>
              <w:left w:val="single" w:sz="4" w:space="0" w:color="auto"/>
              <w:bottom w:val="single" w:sz="4" w:space="0" w:color="auto"/>
            </w:tcBorders>
          </w:tcPr>
          <w:p w:rsidR="00B268C3" w:rsidRDefault="00B268C3">
            <w:pPr>
              <w:spacing w:line="560" w:lineRule="exact"/>
              <w:jc w:val="center"/>
              <w:rPr>
                <w:rFonts w:ascii="宋体" w:hAnsi="宋体"/>
                <w:b/>
                <w:bCs/>
                <w:sz w:val="24"/>
              </w:rPr>
            </w:pPr>
          </w:p>
        </w:tc>
      </w:tr>
      <w:tr w:rsidR="00B268C3">
        <w:trPr>
          <w:trHeight w:val="540"/>
        </w:trPr>
        <w:tc>
          <w:tcPr>
            <w:tcW w:w="735" w:type="dxa"/>
            <w:tcBorders>
              <w:top w:val="single" w:sz="4" w:space="0" w:color="auto"/>
              <w:bottom w:val="single" w:sz="4" w:space="0" w:color="auto"/>
              <w:right w:val="single" w:sz="4" w:space="0" w:color="auto"/>
            </w:tcBorders>
          </w:tcPr>
          <w:p w:rsidR="00B268C3" w:rsidRDefault="003C6D38">
            <w:pPr>
              <w:spacing w:line="560" w:lineRule="exact"/>
              <w:jc w:val="center"/>
              <w:rPr>
                <w:rFonts w:ascii="宋体" w:hAnsi="宋体"/>
                <w:bCs/>
                <w:sz w:val="24"/>
              </w:rPr>
            </w:pPr>
            <w:r>
              <w:rPr>
                <w:rFonts w:ascii="宋体" w:hAnsi="宋体" w:hint="eastAsia"/>
                <w:bCs/>
                <w:sz w:val="24"/>
              </w:rPr>
              <w:lastRenderedPageBreak/>
              <w:t>5</w:t>
            </w:r>
          </w:p>
        </w:tc>
        <w:tc>
          <w:tcPr>
            <w:tcW w:w="3060" w:type="dxa"/>
            <w:tcBorders>
              <w:top w:val="single" w:sz="4" w:space="0" w:color="auto"/>
              <w:left w:val="single" w:sz="4" w:space="0" w:color="auto"/>
              <w:bottom w:val="single" w:sz="4" w:space="0" w:color="auto"/>
              <w:right w:val="single" w:sz="4" w:space="0" w:color="auto"/>
            </w:tcBorders>
          </w:tcPr>
          <w:p w:rsidR="00B268C3" w:rsidRDefault="003C6D38">
            <w:pPr>
              <w:spacing w:line="560" w:lineRule="exact"/>
              <w:jc w:val="center"/>
              <w:rPr>
                <w:rFonts w:ascii="宋体" w:hAnsi="宋体"/>
                <w:bCs/>
                <w:sz w:val="24"/>
              </w:rPr>
            </w:pPr>
            <w:r>
              <w:rPr>
                <w:rFonts w:ascii="宋体" w:hAnsi="宋体"/>
                <w:bCs/>
                <w:sz w:val="24"/>
              </w:rPr>
              <w:t>规划供应链中的供求</w:t>
            </w:r>
          </w:p>
        </w:tc>
        <w:tc>
          <w:tcPr>
            <w:tcW w:w="1080" w:type="dxa"/>
            <w:tcBorders>
              <w:top w:val="single" w:sz="4" w:space="0" w:color="auto"/>
              <w:left w:val="single" w:sz="4" w:space="0" w:color="auto"/>
              <w:bottom w:val="single" w:sz="4" w:space="0" w:color="auto"/>
              <w:right w:val="single" w:sz="4" w:space="0" w:color="auto"/>
            </w:tcBorders>
          </w:tcPr>
          <w:p w:rsidR="00B268C3" w:rsidRDefault="003C6D38">
            <w:pPr>
              <w:spacing w:line="560" w:lineRule="exact"/>
              <w:jc w:val="center"/>
              <w:rPr>
                <w:rFonts w:ascii="宋体" w:hAnsi="宋体"/>
                <w:b/>
                <w:bCs/>
                <w:sz w:val="24"/>
              </w:rPr>
            </w:pPr>
            <w:r>
              <w:rPr>
                <w:rFonts w:ascii="宋体" w:hAnsi="宋体" w:hint="eastAsia"/>
                <w:b/>
                <w:bCs/>
                <w:sz w:val="24"/>
              </w:rPr>
              <w:t>4</w:t>
            </w:r>
          </w:p>
        </w:tc>
        <w:tc>
          <w:tcPr>
            <w:tcW w:w="1080" w:type="dxa"/>
            <w:tcBorders>
              <w:top w:val="single" w:sz="4" w:space="0" w:color="auto"/>
              <w:left w:val="single" w:sz="4" w:space="0" w:color="auto"/>
              <w:bottom w:val="single" w:sz="4" w:space="0" w:color="auto"/>
              <w:right w:val="single" w:sz="4" w:space="0" w:color="auto"/>
            </w:tcBorders>
          </w:tcPr>
          <w:p w:rsidR="00B268C3" w:rsidRDefault="003C6D38">
            <w:pPr>
              <w:spacing w:line="560" w:lineRule="exact"/>
              <w:jc w:val="center"/>
              <w:rPr>
                <w:rFonts w:ascii="宋体" w:hAnsi="宋体"/>
                <w:b/>
                <w:bCs/>
                <w:sz w:val="24"/>
              </w:rPr>
            </w:pPr>
            <w:r>
              <w:rPr>
                <w:rFonts w:ascii="宋体" w:hAnsi="宋体" w:hint="eastAsia"/>
                <w:b/>
                <w:bCs/>
                <w:sz w:val="24"/>
              </w:rPr>
              <w:t>2</w:t>
            </w:r>
          </w:p>
        </w:tc>
        <w:tc>
          <w:tcPr>
            <w:tcW w:w="1080" w:type="dxa"/>
            <w:tcBorders>
              <w:top w:val="single" w:sz="4" w:space="0" w:color="auto"/>
              <w:left w:val="single" w:sz="4" w:space="0" w:color="auto"/>
              <w:bottom w:val="single" w:sz="4" w:space="0" w:color="auto"/>
              <w:right w:val="single" w:sz="4" w:space="0" w:color="auto"/>
            </w:tcBorders>
          </w:tcPr>
          <w:p w:rsidR="00B268C3" w:rsidRDefault="00B268C3">
            <w:pPr>
              <w:spacing w:line="560" w:lineRule="exact"/>
              <w:jc w:val="center"/>
              <w:rPr>
                <w:rFonts w:ascii="宋体" w:hAnsi="宋体"/>
                <w:b/>
                <w:bCs/>
                <w:sz w:val="24"/>
              </w:rPr>
            </w:pPr>
          </w:p>
        </w:tc>
        <w:tc>
          <w:tcPr>
            <w:tcW w:w="885" w:type="dxa"/>
            <w:tcBorders>
              <w:top w:val="single" w:sz="4" w:space="0" w:color="auto"/>
              <w:left w:val="single" w:sz="4" w:space="0" w:color="auto"/>
              <w:bottom w:val="single" w:sz="4" w:space="0" w:color="auto"/>
            </w:tcBorders>
          </w:tcPr>
          <w:p w:rsidR="00B268C3" w:rsidRDefault="00B268C3">
            <w:pPr>
              <w:spacing w:line="560" w:lineRule="exact"/>
              <w:jc w:val="center"/>
              <w:rPr>
                <w:rFonts w:ascii="宋体" w:hAnsi="宋体"/>
                <w:b/>
                <w:bCs/>
                <w:sz w:val="24"/>
              </w:rPr>
            </w:pPr>
          </w:p>
        </w:tc>
      </w:tr>
      <w:tr w:rsidR="00B268C3">
        <w:trPr>
          <w:trHeight w:val="540"/>
        </w:trPr>
        <w:tc>
          <w:tcPr>
            <w:tcW w:w="735" w:type="dxa"/>
            <w:tcBorders>
              <w:top w:val="single" w:sz="4" w:space="0" w:color="auto"/>
              <w:bottom w:val="single" w:sz="4" w:space="0" w:color="auto"/>
              <w:right w:val="single" w:sz="4" w:space="0" w:color="auto"/>
            </w:tcBorders>
          </w:tcPr>
          <w:p w:rsidR="00B268C3" w:rsidRDefault="003C6D38">
            <w:pPr>
              <w:spacing w:line="560" w:lineRule="exact"/>
              <w:jc w:val="center"/>
              <w:rPr>
                <w:rFonts w:ascii="宋体" w:hAnsi="宋体"/>
                <w:bCs/>
                <w:sz w:val="24"/>
              </w:rPr>
            </w:pPr>
            <w:r>
              <w:rPr>
                <w:rFonts w:ascii="宋体" w:hAnsi="宋体" w:hint="eastAsia"/>
                <w:bCs/>
                <w:sz w:val="24"/>
              </w:rPr>
              <w:t>6</w:t>
            </w:r>
          </w:p>
        </w:tc>
        <w:tc>
          <w:tcPr>
            <w:tcW w:w="3060" w:type="dxa"/>
            <w:tcBorders>
              <w:top w:val="single" w:sz="4" w:space="0" w:color="auto"/>
              <w:left w:val="single" w:sz="4" w:space="0" w:color="auto"/>
              <w:bottom w:val="single" w:sz="4" w:space="0" w:color="auto"/>
              <w:right w:val="single" w:sz="4" w:space="0" w:color="auto"/>
            </w:tcBorders>
          </w:tcPr>
          <w:p w:rsidR="00B268C3" w:rsidRDefault="003C6D38">
            <w:pPr>
              <w:spacing w:line="560" w:lineRule="exact"/>
              <w:jc w:val="center"/>
              <w:rPr>
                <w:rFonts w:ascii="宋体" w:hAnsi="宋体"/>
                <w:bCs/>
                <w:sz w:val="24"/>
              </w:rPr>
            </w:pPr>
            <w:r>
              <w:rPr>
                <w:rFonts w:ascii="宋体" w:hAnsi="宋体"/>
                <w:bCs/>
                <w:sz w:val="24"/>
              </w:rPr>
              <w:t>供应链的采购决策</w:t>
            </w:r>
          </w:p>
        </w:tc>
        <w:tc>
          <w:tcPr>
            <w:tcW w:w="1080" w:type="dxa"/>
            <w:tcBorders>
              <w:top w:val="single" w:sz="4" w:space="0" w:color="auto"/>
              <w:left w:val="single" w:sz="4" w:space="0" w:color="auto"/>
              <w:bottom w:val="single" w:sz="4" w:space="0" w:color="auto"/>
              <w:right w:val="single" w:sz="4" w:space="0" w:color="auto"/>
            </w:tcBorders>
          </w:tcPr>
          <w:p w:rsidR="00B268C3" w:rsidRDefault="003C6D38">
            <w:pPr>
              <w:spacing w:line="560" w:lineRule="exact"/>
              <w:jc w:val="center"/>
              <w:rPr>
                <w:rFonts w:ascii="宋体" w:hAnsi="宋体"/>
                <w:b/>
                <w:bCs/>
                <w:sz w:val="24"/>
              </w:rPr>
            </w:pPr>
            <w:r>
              <w:rPr>
                <w:rFonts w:ascii="宋体" w:hAnsi="宋体" w:hint="eastAsia"/>
                <w:b/>
                <w:bCs/>
                <w:sz w:val="24"/>
              </w:rPr>
              <w:t>4</w:t>
            </w:r>
          </w:p>
        </w:tc>
        <w:tc>
          <w:tcPr>
            <w:tcW w:w="1080" w:type="dxa"/>
            <w:tcBorders>
              <w:top w:val="single" w:sz="4" w:space="0" w:color="auto"/>
              <w:left w:val="single" w:sz="4" w:space="0" w:color="auto"/>
              <w:bottom w:val="single" w:sz="4" w:space="0" w:color="auto"/>
              <w:right w:val="single" w:sz="4" w:space="0" w:color="auto"/>
            </w:tcBorders>
          </w:tcPr>
          <w:p w:rsidR="00B268C3" w:rsidRDefault="00B268C3">
            <w:pPr>
              <w:spacing w:line="560" w:lineRule="exact"/>
              <w:jc w:val="center"/>
              <w:rPr>
                <w:rFonts w:ascii="宋体" w:hAnsi="宋体"/>
                <w:b/>
                <w:bCs/>
                <w:sz w:val="24"/>
              </w:rPr>
            </w:pPr>
          </w:p>
        </w:tc>
        <w:tc>
          <w:tcPr>
            <w:tcW w:w="1080" w:type="dxa"/>
            <w:tcBorders>
              <w:top w:val="single" w:sz="4" w:space="0" w:color="auto"/>
              <w:left w:val="single" w:sz="4" w:space="0" w:color="auto"/>
              <w:bottom w:val="single" w:sz="4" w:space="0" w:color="auto"/>
              <w:right w:val="single" w:sz="4" w:space="0" w:color="auto"/>
            </w:tcBorders>
          </w:tcPr>
          <w:p w:rsidR="00B268C3" w:rsidRDefault="00B268C3">
            <w:pPr>
              <w:spacing w:line="560" w:lineRule="exact"/>
              <w:jc w:val="center"/>
              <w:rPr>
                <w:rFonts w:ascii="宋体" w:hAnsi="宋体"/>
                <w:b/>
                <w:bCs/>
                <w:sz w:val="24"/>
              </w:rPr>
            </w:pPr>
          </w:p>
        </w:tc>
        <w:tc>
          <w:tcPr>
            <w:tcW w:w="885" w:type="dxa"/>
            <w:tcBorders>
              <w:top w:val="single" w:sz="4" w:space="0" w:color="auto"/>
              <w:left w:val="single" w:sz="4" w:space="0" w:color="auto"/>
              <w:bottom w:val="single" w:sz="4" w:space="0" w:color="auto"/>
            </w:tcBorders>
          </w:tcPr>
          <w:p w:rsidR="00B268C3" w:rsidRDefault="00B268C3">
            <w:pPr>
              <w:spacing w:line="560" w:lineRule="exact"/>
              <w:jc w:val="center"/>
              <w:rPr>
                <w:rFonts w:ascii="宋体" w:hAnsi="宋体"/>
                <w:b/>
                <w:bCs/>
                <w:sz w:val="24"/>
              </w:rPr>
            </w:pPr>
          </w:p>
        </w:tc>
      </w:tr>
      <w:tr w:rsidR="00B268C3">
        <w:trPr>
          <w:trHeight w:val="540"/>
        </w:trPr>
        <w:tc>
          <w:tcPr>
            <w:tcW w:w="735" w:type="dxa"/>
            <w:tcBorders>
              <w:top w:val="single" w:sz="4" w:space="0" w:color="auto"/>
              <w:bottom w:val="single" w:sz="4" w:space="0" w:color="auto"/>
              <w:right w:val="single" w:sz="4" w:space="0" w:color="auto"/>
            </w:tcBorders>
          </w:tcPr>
          <w:p w:rsidR="00B268C3" w:rsidRDefault="003C6D38">
            <w:pPr>
              <w:spacing w:line="560" w:lineRule="exact"/>
              <w:jc w:val="center"/>
              <w:rPr>
                <w:rFonts w:ascii="宋体" w:hAnsi="宋体"/>
                <w:bCs/>
                <w:sz w:val="24"/>
              </w:rPr>
            </w:pPr>
            <w:r>
              <w:rPr>
                <w:rFonts w:ascii="宋体" w:hAnsi="宋体" w:hint="eastAsia"/>
                <w:bCs/>
                <w:sz w:val="24"/>
              </w:rPr>
              <w:t>7</w:t>
            </w:r>
          </w:p>
        </w:tc>
        <w:tc>
          <w:tcPr>
            <w:tcW w:w="3060" w:type="dxa"/>
            <w:tcBorders>
              <w:top w:val="single" w:sz="4" w:space="0" w:color="auto"/>
              <w:left w:val="single" w:sz="4" w:space="0" w:color="auto"/>
              <w:bottom w:val="single" w:sz="4" w:space="0" w:color="auto"/>
              <w:right w:val="single" w:sz="4" w:space="0" w:color="auto"/>
            </w:tcBorders>
          </w:tcPr>
          <w:p w:rsidR="00B268C3" w:rsidRDefault="003C6D38">
            <w:pPr>
              <w:spacing w:line="560" w:lineRule="exact"/>
              <w:jc w:val="center"/>
              <w:rPr>
                <w:rFonts w:ascii="宋体" w:hAnsi="宋体"/>
                <w:bCs/>
                <w:sz w:val="24"/>
              </w:rPr>
            </w:pPr>
            <w:r>
              <w:rPr>
                <w:rFonts w:ascii="宋体" w:hAnsi="宋体"/>
                <w:bCs/>
                <w:sz w:val="24"/>
              </w:rPr>
              <w:t>供应链的定价和收益管理</w:t>
            </w:r>
          </w:p>
        </w:tc>
        <w:tc>
          <w:tcPr>
            <w:tcW w:w="1080" w:type="dxa"/>
            <w:tcBorders>
              <w:top w:val="single" w:sz="4" w:space="0" w:color="auto"/>
              <w:left w:val="single" w:sz="4" w:space="0" w:color="auto"/>
              <w:bottom w:val="single" w:sz="4" w:space="0" w:color="auto"/>
              <w:right w:val="single" w:sz="4" w:space="0" w:color="auto"/>
            </w:tcBorders>
          </w:tcPr>
          <w:p w:rsidR="00B268C3" w:rsidRDefault="003C6D38">
            <w:pPr>
              <w:spacing w:line="560" w:lineRule="exact"/>
              <w:jc w:val="center"/>
              <w:rPr>
                <w:rFonts w:ascii="宋体" w:hAnsi="宋体"/>
                <w:b/>
                <w:bCs/>
                <w:sz w:val="24"/>
              </w:rPr>
            </w:pPr>
            <w:r>
              <w:rPr>
                <w:rFonts w:ascii="宋体" w:hAnsi="宋体" w:hint="eastAsia"/>
                <w:b/>
                <w:bCs/>
                <w:sz w:val="24"/>
              </w:rPr>
              <w:t>4</w:t>
            </w:r>
          </w:p>
        </w:tc>
        <w:tc>
          <w:tcPr>
            <w:tcW w:w="1080" w:type="dxa"/>
            <w:tcBorders>
              <w:top w:val="single" w:sz="4" w:space="0" w:color="auto"/>
              <w:left w:val="single" w:sz="4" w:space="0" w:color="auto"/>
              <w:bottom w:val="single" w:sz="4" w:space="0" w:color="auto"/>
              <w:right w:val="single" w:sz="4" w:space="0" w:color="auto"/>
            </w:tcBorders>
          </w:tcPr>
          <w:p w:rsidR="00B268C3" w:rsidRDefault="003C6D38">
            <w:pPr>
              <w:spacing w:line="560" w:lineRule="exact"/>
              <w:jc w:val="center"/>
              <w:rPr>
                <w:rFonts w:ascii="宋体" w:hAnsi="宋体"/>
                <w:b/>
                <w:bCs/>
                <w:sz w:val="24"/>
              </w:rPr>
            </w:pPr>
            <w:r>
              <w:rPr>
                <w:rFonts w:ascii="宋体" w:hAnsi="宋体" w:hint="eastAsia"/>
                <w:b/>
                <w:bCs/>
                <w:sz w:val="24"/>
              </w:rPr>
              <w:t>2</w:t>
            </w:r>
          </w:p>
        </w:tc>
        <w:tc>
          <w:tcPr>
            <w:tcW w:w="1080" w:type="dxa"/>
            <w:tcBorders>
              <w:top w:val="single" w:sz="4" w:space="0" w:color="auto"/>
              <w:left w:val="single" w:sz="4" w:space="0" w:color="auto"/>
              <w:bottom w:val="single" w:sz="4" w:space="0" w:color="auto"/>
              <w:right w:val="single" w:sz="4" w:space="0" w:color="auto"/>
            </w:tcBorders>
          </w:tcPr>
          <w:p w:rsidR="00B268C3" w:rsidRDefault="00B268C3">
            <w:pPr>
              <w:spacing w:line="560" w:lineRule="exact"/>
              <w:jc w:val="center"/>
              <w:rPr>
                <w:rFonts w:ascii="宋体" w:hAnsi="宋体"/>
                <w:b/>
                <w:bCs/>
                <w:sz w:val="24"/>
              </w:rPr>
            </w:pPr>
          </w:p>
        </w:tc>
        <w:tc>
          <w:tcPr>
            <w:tcW w:w="885" w:type="dxa"/>
            <w:tcBorders>
              <w:top w:val="single" w:sz="4" w:space="0" w:color="auto"/>
              <w:left w:val="single" w:sz="4" w:space="0" w:color="auto"/>
              <w:bottom w:val="single" w:sz="4" w:space="0" w:color="auto"/>
            </w:tcBorders>
          </w:tcPr>
          <w:p w:rsidR="00B268C3" w:rsidRDefault="00B268C3">
            <w:pPr>
              <w:spacing w:line="560" w:lineRule="exact"/>
              <w:jc w:val="center"/>
              <w:rPr>
                <w:rFonts w:ascii="宋体" w:hAnsi="宋体"/>
                <w:b/>
                <w:bCs/>
                <w:sz w:val="24"/>
              </w:rPr>
            </w:pPr>
          </w:p>
        </w:tc>
      </w:tr>
      <w:tr w:rsidR="00B268C3">
        <w:trPr>
          <w:trHeight w:val="450"/>
        </w:trPr>
        <w:tc>
          <w:tcPr>
            <w:tcW w:w="735" w:type="dxa"/>
            <w:tcBorders>
              <w:top w:val="single" w:sz="4" w:space="0" w:color="auto"/>
              <w:bottom w:val="single" w:sz="4" w:space="0" w:color="auto"/>
              <w:right w:val="single" w:sz="4" w:space="0" w:color="auto"/>
            </w:tcBorders>
          </w:tcPr>
          <w:p w:rsidR="00B268C3" w:rsidRDefault="003C6D38">
            <w:pPr>
              <w:spacing w:line="560" w:lineRule="exact"/>
              <w:jc w:val="center"/>
              <w:rPr>
                <w:rFonts w:ascii="宋体" w:hAnsi="宋体"/>
                <w:b/>
                <w:bCs/>
                <w:sz w:val="24"/>
              </w:rPr>
            </w:pPr>
            <w:r>
              <w:rPr>
                <w:rFonts w:ascii="宋体" w:hAnsi="宋体" w:hint="eastAsia"/>
                <w:b/>
                <w:bCs/>
                <w:color w:val="000000"/>
                <w:sz w:val="24"/>
              </w:rPr>
              <w:t>合计</w:t>
            </w:r>
          </w:p>
        </w:tc>
        <w:tc>
          <w:tcPr>
            <w:tcW w:w="3060" w:type="dxa"/>
            <w:tcBorders>
              <w:top w:val="single" w:sz="4" w:space="0" w:color="auto"/>
              <w:left w:val="single" w:sz="4" w:space="0" w:color="auto"/>
              <w:bottom w:val="single" w:sz="4" w:space="0" w:color="auto"/>
              <w:right w:val="single" w:sz="4" w:space="0" w:color="auto"/>
            </w:tcBorders>
          </w:tcPr>
          <w:p w:rsidR="00B268C3" w:rsidRDefault="00B268C3">
            <w:pPr>
              <w:spacing w:line="560" w:lineRule="exact"/>
              <w:jc w:val="center"/>
              <w:rPr>
                <w:rFonts w:ascii="宋体" w:hAnsi="宋体"/>
                <w:b/>
                <w:bCs/>
                <w:sz w:val="24"/>
              </w:rPr>
            </w:pPr>
          </w:p>
        </w:tc>
        <w:tc>
          <w:tcPr>
            <w:tcW w:w="1080" w:type="dxa"/>
            <w:tcBorders>
              <w:top w:val="single" w:sz="4" w:space="0" w:color="auto"/>
              <w:left w:val="single" w:sz="4" w:space="0" w:color="auto"/>
              <w:bottom w:val="single" w:sz="4" w:space="0" w:color="auto"/>
              <w:right w:val="single" w:sz="4" w:space="0" w:color="auto"/>
            </w:tcBorders>
          </w:tcPr>
          <w:p w:rsidR="00B268C3" w:rsidRDefault="003C6D38">
            <w:pPr>
              <w:spacing w:line="560" w:lineRule="exact"/>
              <w:jc w:val="center"/>
              <w:rPr>
                <w:rFonts w:ascii="宋体" w:hAnsi="宋体"/>
                <w:b/>
                <w:bCs/>
                <w:sz w:val="24"/>
              </w:rPr>
            </w:pPr>
            <w:r>
              <w:rPr>
                <w:rFonts w:ascii="宋体" w:hAnsi="宋体" w:hint="eastAsia"/>
                <w:b/>
                <w:bCs/>
                <w:sz w:val="24"/>
              </w:rPr>
              <w:t>26</w:t>
            </w:r>
          </w:p>
        </w:tc>
        <w:tc>
          <w:tcPr>
            <w:tcW w:w="1080" w:type="dxa"/>
            <w:tcBorders>
              <w:top w:val="single" w:sz="4" w:space="0" w:color="auto"/>
              <w:left w:val="single" w:sz="4" w:space="0" w:color="auto"/>
              <w:bottom w:val="single" w:sz="4" w:space="0" w:color="auto"/>
              <w:right w:val="single" w:sz="4" w:space="0" w:color="auto"/>
            </w:tcBorders>
          </w:tcPr>
          <w:p w:rsidR="00B268C3" w:rsidRDefault="003C6D38">
            <w:pPr>
              <w:spacing w:line="560" w:lineRule="exact"/>
              <w:jc w:val="center"/>
              <w:rPr>
                <w:rFonts w:ascii="宋体" w:hAnsi="宋体"/>
                <w:b/>
                <w:bCs/>
                <w:sz w:val="24"/>
              </w:rPr>
            </w:pPr>
            <w:r>
              <w:rPr>
                <w:rFonts w:ascii="宋体" w:hAnsi="宋体" w:hint="eastAsia"/>
                <w:b/>
                <w:bCs/>
                <w:sz w:val="24"/>
              </w:rPr>
              <w:t>6</w:t>
            </w:r>
          </w:p>
        </w:tc>
        <w:tc>
          <w:tcPr>
            <w:tcW w:w="1080" w:type="dxa"/>
            <w:tcBorders>
              <w:top w:val="single" w:sz="4" w:space="0" w:color="auto"/>
              <w:left w:val="single" w:sz="4" w:space="0" w:color="auto"/>
              <w:bottom w:val="single" w:sz="4" w:space="0" w:color="auto"/>
              <w:right w:val="single" w:sz="4" w:space="0" w:color="auto"/>
            </w:tcBorders>
          </w:tcPr>
          <w:p w:rsidR="00B268C3" w:rsidRDefault="00B268C3">
            <w:pPr>
              <w:spacing w:line="560" w:lineRule="exact"/>
              <w:jc w:val="center"/>
              <w:rPr>
                <w:rFonts w:ascii="宋体" w:hAnsi="宋体"/>
                <w:b/>
                <w:bCs/>
                <w:sz w:val="24"/>
              </w:rPr>
            </w:pPr>
          </w:p>
        </w:tc>
        <w:tc>
          <w:tcPr>
            <w:tcW w:w="885" w:type="dxa"/>
            <w:tcBorders>
              <w:top w:val="single" w:sz="4" w:space="0" w:color="auto"/>
              <w:left w:val="single" w:sz="4" w:space="0" w:color="auto"/>
              <w:bottom w:val="single" w:sz="4" w:space="0" w:color="auto"/>
            </w:tcBorders>
          </w:tcPr>
          <w:p w:rsidR="00B268C3" w:rsidRDefault="003C6D38">
            <w:pPr>
              <w:spacing w:line="560" w:lineRule="exact"/>
              <w:jc w:val="center"/>
              <w:rPr>
                <w:rFonts w:ascii="宋体" w:hAnsi="宋体"/>
                <w:b/>
                <w:bCs/>
                <w:sz w:val="24"/>
              </w:rPr>
            </w:pPr>
            <w:r>
              <w:rPr>
                <w:rFonts w:ascii="宋体" w:hAnsi="宋体" w:hint="eastAsia"/>
                <w:b/>
                <w:bCs/>
                <w:sz w:val="24"/>
              </w:rPr>
              <w:t>32</w:t>
            </w:r>
          </w:p>
        </w:tc>
      </w:tr>
    </w:tbl>
    <w:p w:rsidR="0005128D" w:rsidRDefault="0005128D">
      <w:pPr>
        <w:spacing w:line="560" w:lineRule="exact"/>
        <w:ind w:firstLineChars="200" w:firstLine="480"/>
        <w:rPr>
          <w:rFonts w:ascii="黑体" w:eastAsia="黑体" w:hAnsi="黑体"/>
          <w:bCs/>
          <w:sz w:val="24"/>
          <w:szCs w:val="32"/>
        </w:rPr>
      </w:pPr>
    </w:p>
    <w:p w:rsidR="00B268C3" w:rsidRDefault="003C6D38">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四、教学内容</w:t>
      </w:r>
    </w:p>
    <w:p w:rsidR="00B268C3" w:rsidRDefault="003C6D38">
      <w:pPr>
        <w:pStyle w:val="a3"/>
        <w:spacing w:line="560" w:lineRule="exact"/>
        <w:rPr>
          <w:rFonts w:ascii="宋体" w:hAnsi="宋体"/>
        </w:rPr>
      </w:pPr>
      <w:r>
        <w:rPr>
          <w:rFonts w:ascii="宋体" w:hAnsi="宋体" w:hint="eastAsia"/>
        </w:rPr>
        <w:t xml:space="preserve">第1章 供应链管理概述 </w:t>
      </w:r>
    </w:p>
    <w:p w:rsidR="00B268C3" w:rsidRDefault="003C6D38">
      <w:pPr>
        <w:pStyle w:val="a3"/>
        <w:spacing w:line="560" w:lineRule="exact"/>
        <w:rPr>
          <w:rFonts w:ascii="宋体" w:hAnsi="宋体"/>
        </w:rPr>
      </w:pPr>
      <w:r>
        <w:rPr>
          <w:rFonts w:ascii="宋体" w:hAnsi="宋体" w:hint="eastAsia"/>
        </w:rPr>
        <w:t xml:space="preserve">1.1 供应链目标（了解） </w:t>
      </w:r>
    </w:p>
    <w:p w:rsidR="00B268C3" w:rsidRDefault="003C6D38">
      <w:pPr>
        <w:pStyle w:val="a3"/>
        <w:spacing w:line="560" w:lineRule="exact"/>
        <w:rPr>
          <w:rFonts w:ascii="宋体" w:hAnsi="宋体"/>
        </w:rPr>
      </w:pPr>
      <w:r>
        <w:rPr>
          <w:rFonts w:ascii="宋体" w:hAnsi="宋体" w:hint="eastAsia"/>
        </w:rPr>
        <w:t>1.2 供应链决策阶段（了解）</w:t>
      </w:r>
    </w:p>
    <w:p w:rsidR="00B268C3" w:rsidRDefault="003C6D38">
      <w:pPr>
        <w:pStyle w:val="a3"/>
        <w:spacing w:line="560" w:lineRule="exact"/>
        <w:rPr>
          <w:rFonts w:ascii="宋体" w:hAnsi="宋体"/>
        </w:rPr>
      </w:pPr>
      <w:r>
        <w:rPr>
          <w:rFonts w:ascii="宋体" w:hAnsi="宋体" w:hint="eastAsia"/>
        </w:rPr>
        <w:t>本章节</w:t>
      </w:r>
      <w:r>
        <w:rPr>
          <w:rFonts w:ascii="宋体" w:hAnsi="宋体"/>
        </w:rPr>
        <w:t>的</w:t>
      </w:r>
      <w:r>
        <w:rPr>
          <w:rFonts w:ascii="宋体" w:hAnsi="宋体" w:hint="eastAsia"/>
        </w:rPr>
        <w:t>教学</w:t>
      </w:r>
      <w:r>
        <w:rPr>
          <w:rFonts w:ascii="宋体" w:hAnsi="宋体"/>
        </w:rPr>
        <w:t>内容为</w:t>
      </w:r>
      <w:r>
        <w:rPr>
          <w:rFonts w:ascii="宋体" w:hAnsi="宋体" w:hint="eastAsia"/>
        </w:rPr>
        <w:t>供应链管理概述。其中，以课程思政为切入点，</w:t>
      </w:r>
      <w:r>
        <w:rPr>
          <w:rFonts w:ascii="宋体" w:hAnsi="宋体"/>
        </w:rPr>
        <w:t>重点</w:t>
      </w:r>
      <w:r>
        <w:rPr>
          <w:rFonts w:ascii="宋体" w:hAnsi="宋体" w:hint="eastAsia"/>
        </w:rPr>
        <w:t>讲授供应链决策阶段的划分。</w:t>
      </w:r>
    </w:p>
    <w:p w:rsidR="00B268C3" w:rsidRDefault="003C6D38">
      <w:pPr>
        <w:pStyle w:val="a3"/>
        <w:spacing w:line="560" w:lineRule="exact"/>
        <w:ind w:firstLine="482"/>
        <w:rPr>
          <w:rFonts w:ascii="宋体" w:hAnsi="宋体"/>
        </w:rPr>
      </w:pPr>
      <w:r>
        <w:rPr>
          <w:rFonts w:hint="eastAsia"/>
          <w:b/>
          <w:bCs/>
          <w:szCs w:val="32"/>
        </w:rPr>
        <w:t>课程思政切入点：</w:t>
      </w:r>
      <w:r>
        <w:rPr>
          <w:rFonts w:hint="eastAsia"/>
          <w:szCs w:val="32"/>
        </w:rPr>
        <w:t>通过理论学习、培养学生精益求精和不断改善、优化、创新的精神。穿插我国供应链发展历程中的相关供应链决策案例宣扬家国情怀、精益求精、勇于创新、不忘初心的匠心精神。</w:t>
      </w:r>
    </w:p>
    <w:p w:rsidR="00B268C3" w:rsidRDefault="003C6D38">
      <w:pPr>
        <w:pStyle w:val="a3"/>
        <w:spacing w:line="560" w:lineRule="exact"/>
        <w:rPr>
          <w:rFonts w:ascii="宋体" w:hAnsi="宋体"/>
        </w:rPr>
      </w:pPr>
      <w:r>
        <w:rPr>
          <w:rFonts w:ascii="宋体" w:hAnsi="宋体" w:hint="eastAsia"/>
        </w:rPr>
        <w:t xml:space="preserve">第2章 分销网络的设计决策 </w:t>
      </w:r>
    </w:p>
    <w:p w:rsidR="00B268C3" w:rsidRDefault="003C6D38">
      <w:pPr>
        <w:pStyle w:val="a3"/>
        <w:spacing w:line="560" w:lineRule="exact"/>
        <w:rPr>
          <w:rFonts w:ascii="宋体" w:hAnsi="宋体"/>
        </w:rPr>
      </w:pPr>
      <w:r>
        <w:rPr>
          <w:rFonts w:ascii="宋体" w:hAnsi="宋体" w:hint="eastAsia"/>
        </w:rPr>
        <w:t xml:space="preserve">2.1 分销在供应链中的作用（了解） </w:t>
      </w:r>
    </w:p>
    <w:p w:rsidR="00B268C3" w:rsidRDefault="003C6D38">
      <w:pPr>
        <w:pStyle w:val="a3"/>
        <w:spacing w:line="560" w:lineRule="exact"/>
        <w:rPr>
          <w:rFonts w:ascii="宋体" w:hAnsi="宋体"/>
        </w:rPr>
      </w:pPr>
      <w:r>
        <w:rPr>
          <w:rFonts w:ascii="宋体" w:hAnsi="宋体" w:hint="eastAsia"/>
        </w:rPr>
        <w:t>2.2 影响分销网络设计的因素（掌握）</w:t>
      </w:r>
    </w:p>
    <w:p w:rsidR="00B268C3" w:rsidRDefault="003C6D38">
      <w:pPr>
        <w:pStyle w:val="a3"/>
        <w:spacing w:line="560" w:lineRule="exact"/>
        <w:rPr>
          <w:rFonts w:ascii="宋体" w:hAnsi="宋体"/>
        </w:rPr>
      </w:pPr>
      <w:r>
        <w:rPr>
          <w:rFonts w:ascii="宋体" w:hAnsi="宋体" w:hint="eastAsia"/>
        </w:rPr>
        <w:t>2.3 分销网络的设计方案（理解）</w:t>
      </w:r>
    </w:p>
    <w:p w:rsidR="00B268C3" w:rsidRDefault="003C6D38">
      <w:pPr>
        <w:pStyle w:val="a3"/>
        <w:spacing w:line="560" w:lineRule="exact"/>
        <w:rPr>
          <w:rFonts w:ascii="宋体" w:hAnsi="宋体"/>
        </w:rPr>
      </w:pPr>
      <w:r>
        <w:rPr>
          <w:rFonts w:ascii="宋体" w:hAnsi="宋体" w:hint="eastAsia"/>
        </w:rPr>
        <w:t>2.4 在线销售与分销网络（理解）</w:t>
      </w:r>
    </w:p>
    <w:p w:rsidR="00B268C3" w:rsidRDefault="003C6D38">
      <w:pPr>
        <w:pStyle w:val="a3"/>
        <w:spacing w:line="560" w:lineRule="exact"/>
        <w:rPr>
          <w:rFonts w:ascii="宋体" w:hAnsi="宋体"/>
        </w:rPr>
      </w:pPr>
      <w:r>
        <w:rPr>
          <w:rFonts w:ascii="宋体" w:hAnsi="宋体" w:hint="eastAsia"/>
        </w:rPr>
        <w:t>本章节</w:t>
      </w:r>
      <w:r>
        <w:rPr>
          <w:rFonts w:ascii="宋体" w:hAnsi="宋体"/>
        </w:rPr>
        <w:t>的</w:t>
      </w:r>
      <w:r>
        <w:rPr>
          <w:rFonts w:ascii="宋体" w:hAnsi="宋体" w:hint="eastAsia"/>
        </w:rPr>
        <w:t>教学</w:t>
      </w:r>
      <w:r>
        <w:rPr>
          <w:rFonts w:ascii="宋体" w:hAnsi="宋体"/>
        </w:rPr>
        <w:t>内容为</w:t>
      </w:r>
      <w:r>
        <w:rPr>
          <w:rFonts w:ascii="宋体" w:hAnsi="宋体" w:hint="eastAsia"/>
        </w:rPr>
        <w:t>分销网络的设计决策。其中，</w:t>
      </w:r>
      <w:r>
        <w:rPr>
          <w:rFonts w:ascii="宋体" w:hAnsi="宋体"/>
        </w:rPr>
        <w:t>重点是影响因素分析；难点是分销网络设计决策</w:t>
      </w:r>
      <w:r>
        <w:rPr>
          <w:rFonts w:ascii="宋体" w:hAnsi="宋体" w:hint="eastAsia"/>
        </w:rPr>
        <w:t>。课程</w:t>
      </w:r>
      <w:r>
        <w:rPr>
          <w:rFonts w:ascii="宋体" w:hAnsi="宋体"/>
        </w:rPr>
        <w:t>的考核要求</w:t>
      </w:r>
      <w:r>
        <w:rPr>
          <w:rFonts w:ascii="宋体" w:hAnsi="宋体" w:hint="eastAsia"/>
        </w:rPr>
        <w:t>是在线销售与分销网络的设计应用。</w:t>
      </w:r>
    </w:p>
    <w:p w:rsidR="00B268C3" w:rsidRDefault="003C6D38">
      <w:pPr>
        <w:pStyle w:val="a3"/>
        <w:spacing w:line="560" w:lineRule="exact"/>
        <w:rPr>
          <w:rFonts w:ascii="宋体" w:hAnsi="宋体"/>
        </w:rPr>
      </w:pPr>
      <w:r>
        <w:rPr>
          <w:rFonts w:ascii="宋体" w:hAnsi="宋体" w:hint="eastAsia"/>
        </w:rPr>
        <w:t xml:space="preserve">第3章 供应链的网络设计决策 </w:t>
      </w:r>
    </w:p>
    <w:p w:rsidR="00B268C3" w:rsidRDefault="003C6D38">
      <w:pPr>
        <w:pStyle w:val="a3"/>
        <w:spacing w:line="560" w:lineRule="exact"/>
        <w:rPr>
          <w:rFonts w:ascii="宋体" w:hAnsi="宋体"/>
        </w:rPr>
      </w:pPr>
      <w:r>
        <w:rPr>
          <w:rFonts w:ascii="宋体" w:hAnsi="宋体" w:hint="eastAsia"/>
        </w:rPr>
        <w:t>3.1 网络设计在供应链中的作用（掌握）</w:t>
      </w:r>
    </w:p>
    <w:p w:rsidR="00B268C3" w:rsidRDefault="003C6D38">
      <w:pPr>
        <w:pStyle w:val="a3"/>
        <w:spacing w:line="560" w:lineRule="exact"/>
        <w:rPr>
          <w:rFonts w:ascii="宋体" w:hAnsi="宋体"/>
        </w:rPr>
      </w:pPr>
      <w:r>
        <w:rPr>
          <w:rFonts w:ascii="宋体" w:hAnsi="宋体" w:hint="eastAsia"/>
        </w:rPr>
        <w:t>3.2 设施选址和产能分配模型 （理解）</w:t>
      </w:r>
    </w:p>
    <w:p w:rsidR="00B268C3" w:rsidRDefault="003C6D38">
      <w:pPr>
        <w:pStyle w:val="a3"/>
        <w:spacing w:line="560" w:lineRule="exact"/>
        <w:rPr>
          <w:rFonts w:ascii="宋体" w:hAnsi="宋体"/>
        </w:rPr>
      </w:pPr>
      <w:r>
        <w:rPr>
          <w:rFonts w:ascii="宋体" w:hAnsi="宋体" w:hint="eastAsia"/>
        </w:rPr>
        <w:lastRenderedPageBreak/>
        <w:t>3.3 供应链网络设计决策案例应用 （运用）</w:t>
      </w:r>
    </w:p>
    <w:p w:rsidR="00B268C3" w:rsidRDefault="003C6D38">
      <w:pPr>
        <w:pStyle w:val="a3"/>
        <w:spacing w:line="560" w:lineRule="exact"/>
        <w:rPr>
          <w:rFonts w:ascii="宋体" w:hAnsi="宋体"/>
        </w:rPr>
      </w:pPr>
      <w:r>
        <w:rPr>
          <w:rFonts w:ascii="宋体" w:hAnsi="宋体" w:hint="eastAsia"/>
        </w:rPr>
        <w:t>本章节</w:t>
      </w:r>
      <w:r>
        <w:rPr>
          <w:rFonts w:ascii="宋体" w:hAnsi="宋体"/>
        </w:rPr>
        <w:t>的</w:t>
      </w:r>
      <w:r>
        <w:rPr>
          <w:rFonts w:ascii="宋体" w:hAnsi="宋体" w:hint="eastAsia"/>
        </w:rPr>
        <w:t>教学</w:t>
      </w:r>
      <w:r>
        <w:rPr>
          <w:rFonts w:ascii="宋体" w:hAnsi="宋体"/>
        </w:rPr>
        <w:t>内容为</w:t>
      </w:r>
      <w:r>
        <w:rPr>
          <w:rFonts w:ascii="宋体" w:hAnsi="宋体" w:hint="eastAsia"/>
        </w:rPr>
        <w:t>供应链的网络设计决策。其中，</w:t>
      </w:r>
      <w:r>
        <w:rPr>
          <w:rFonts w:ascii="宋体" w:hAnsi="宋体"/>
        </w:rPr>
        <w:t>重点是网络设计在供应链中的作用及影响因素分析；难点是设施选址和产能分配</w:t>
      </w:r>
      <w:r>
        <w:rPr>
          <w:rFonts w:ascii="宋体" w:hAnsi="宋体" w:hint="eastAsia"/>
        </w:rPr>
        <w:t>。课程</w:t>
      </w:r>
      <w:r>
        <w:rPr>
          <w:rFonts w:ascii="宋体" w:hAnsi="宋体"/>
        </w:rPr>
        <w:t>的考核要求</w:t>
      </w:r>
      <w:r>
        <w:rPr>
          <w:rFonts w:ascii="宋体" w:hAnsi="宋体" w:hint="eastAsia"/>
        </w:rPr>
        <w:t>是有关利用优化模型制订设施选址和产能分配决策。</w:t>
      </w:r>
    </w:p>
    <w:p w:rsidR="00B268C3" w:rsidRDefault="003C6D38">
      <w:pPr>
        <w:pStyle w:val="a3"/>
        <w:spacing w:line="560" w:lineRule="exact"/>
        <w:ind w:firstLine="482"/>
        <w:rPr>
          <w:rFonts w:ascii="宋体" w:hAnsi="宋体"/>
        </w:rPr>
      </w:pPr>
      <w:r>
        <w:rPr>
          <w:rFonts w:hint="eastAsia"/>
          <w:b/>
          <w:bCs/>
          <w:szCs w:val="32"/>
        </w:rPr>
        <w:t>课程思政切入点：</w:t>
      </w:r>
      <w:r>
        <w:rPr>
          <w:rFonts w:hint="eastAsia"/>
          <w:szCs w:val="32"/>
        </w:rPr>
        <w:t>通过理论学习、培养学生科学思维方法和创新精神，穿插我国供应链发展历程中的相关供应链网络建设案例宣扬家国情怀、精益求精、勇于创新、不忘初心的匠心精神。</w:t>
      </w:r>
    </w:p>
    <w:p w:rsidR="00B268C3" w:rsidRDefault="003C6D38">
      <w:pPr>
        <w:pStyle w:val="a3"/>
        <w:spacing w:line="560" w:lineRule="exact"/>
        <w:rPr>
          <w:rFonts w:ascii="宋体" w:hAnsi="宋体"/>
        </w:rPr>
      </w:pPr>
      <w:r>
        <w:rPr>
          <w:rFonts w:ascii="宋体" w:hAnsi="宋体" w:hint="eastAsia"/>
        </w:rPr>
        <w:t xml:space="preserve">第4章 供应链中的需求预测 </w:t>
      </w:r>
    </w:p>
    <w:p w:rsidR="00B268C3" w:rsidRDefault="003C6D38">
      <w:pPr>
        <w:pStyle w:val="a3"/>
        <w:spacing w:line="560" w:lineRule="exact"/>
        <w:rPr>
          <w:rFonts w:ascii="宋体" w:hAnsi="宋体"/>
        </w:rPr>
      </w:pPr>
      <w:r>
        <w:rPr>
          <w:rFonts w:ascii="宋体" w:hAnsi="宋体" w:hint="eastAsia"/>
        </w:rPr>
        <w:t>4.1 预测在供应链中的作用（了解）</w:t>
      </w:r>
    </w:p>
    <w:p w:rsidR="00B268C3" w:rsidRDefault="003C6D38">
      <w:pPr>
        <w:pStyle w:val="a3"/>
        <w:spacing w:line="560" w:lineRule="exact"/>
        <w:rPr>
          <w:rFonts w:ascii="宋体" w:hAnsi="宋体"/>
        </w:rPr>
      </w:pPr>
      <w:r>
        <w:rPr>
          <w:rFonts w:ascii="宋体" w:hAnsi="宋体" w:hint="eastAsia"/>
        </w:rPr>
        <w:t>4.2 需求预测的基本方法（掌握）</w:t>
      </w:r>
    </w:p>
    <w:p w:rsidR="00B268C3" w:rsidRDefault="003C6D38">
      <w:pPr>
        <w:pStyle w:val="a3"/>
        <w:spacing w:line="560" w:lineRule="exact"/>
        <w:rPr>
          <w:rFonts w:ascii="宋体" w:hAnsi="宋体"/>
        </w:rPr>
      </w:pPr>
      <w:r>
        <w:rPr>
          <w:rFonts w:ascii="宋体" w:hAnsi="宋体" w:hint="eastAsia"/>
        </w:rPr>
        <w:t>本章节</w:t>
      </w:r>
      <w:r>
        <w:rPr>
          <w:rFonts w:ascii="宋体" w:hAnsi="宋体"/>
        </w:rPr>
        <w:t>的</w:t>
      </w:r>
      <w:r>
        <w:rPr>
          <w:rFonts w:ascii="宋体" w:hAnsi="宋体" w:hint="eastAsia"/>
        </w:rPr>
        <w:t>教学</w:t>
      </w:r>
      <w:r>
        <w:rPr>
          <w:rFonts w:ascii="宋体" w:hAnsi="宋体"/>
        </w:rPr>
        <w:t>内容为</w:t>
      </w:r>
      <w:r>
        <w:rPr>
          <w:rFonts w:ascii="宋体" w:hAnsi="宋体" w:hint="eastAsia"/>
        </w:rPr>
        <w:t>供应链中的需求预测。其中，</w:t>
      </w:r>
      <w:r>
        <w:rPr>
          <w:rFonts w:ascii="宋体" w:hAnsi="宋体"/>
        </w:rPr>
        <w:t>重点是需求预测的基本方法</w:t>
      </w:r>
      <w:r>
        <w:rPr>
          <w:rFonts w:ascii="宋体" w:hAnsi="宋体" w:hint="eastAsia"/>
        </w:rPr>
        <w:t>，同时</w:t>
      </w:r>
      <w:r>
        <w:rPr>
          <w:rFonts w:ascii="宋体" w:hAnsi="宋体"/>
        </w:rPr>
        <w:t>也是难点所在</w:t>
      </w:r>
      <w:r>
        <w:rPr>
          <w:rFonts w:ascii="宋体" w:hAnsi="宋体" w:hint="eastAsia"/>
        </w:rPr>
        <w:t>。课程</w:t>
      </w:r>
      <w:r>
        <w:rPr>
          <w:rFonts w:ascii="宋体" w:hAnsi="宋体"/>
        </w:rPr>
        <w:t>的考核要求</w:t>
      </w:r>
      <w:r>
        <w:rPr>
          <w:rFonts w:ascii="宋体" w:hAnsi="宋体" w:hint="eastAsia"/>
        </w:rPr>
        <w:t>是相关方法</w:t>
      </w:r>
      <w:r>
        <w:rPr>
          <w:rFonts w:ascii="宋体" w:hAnsi="宋体"/>
        </w:rPr>
        <w:t>的实际应用</w:t>
      </w:r>
      <w:r>
        <w:rPr>
          <w:rFonts w:ascii="宋体" w:hAnsi="宋体" w:hint="eastAsia"/>
        </w:rPr>
        <w:t>。</w:t>
      </w:r>
    </w:p>
    <w:p w:rsidR="00B268C3" w:rsidRDefault="003C6D38">
      <w:pPr>
        <w:pStyle w:val="a3"/>
        <w:spacing w:line="560" w:lineRule="exact"/>
        <w:rPr>
          <w:rFonts w:ascii="宋体" w:hAnsi="宋体"/>
        </w:rPr>
      </w:pPr>
      <w:r>
        <w:rPr>
          <w:rFonts w:ascii="宋体" w:hAnsi="宋体" w:hint="eastAsia"/>
        </w:rPr>
        <w:t xml:space="preserve">第5章 规划供应链中的供求 </w:t>
      </w:r>
    </w:p>
    <w:p w:rsidR="00B268C3" w:rsidRDefault="003C6D38">
      <w:pPr>
        <w:pStyle w:val="a3"/>
        <w:spacing w:line="560" w:lineRule="exact"/>
        <w:rPr>
          <w:rFonts w:ascii="宋体" w:hAnsi="宋体"/>
        </w:rPr>
      </w:pPr>
      <w:r>
        <w:rPr>
          <w:rFonts w:ascii="宋体" w:hAnsi="宋体" w:hint="eastAsia"/>
        </w:rPr>
        <w:t>5.1 应对供应链中可预测的变化性 （掌握）</w:t>
      </w:r>
    </w:p>
    <w:p w:rsidR="00B268C3" w:rsidRDefault="003C6D38">
      <w:pPr>
        <w:pStyle w:val="a3"/>
        <w:spacing w:line="560" w:lineRule="exact"/>
        <w:rPr>
          <w:rFonts w:ascii="宋体" w:hAnsi="宋体"/>
        </w:rPr>
      </w:pPr>
      <w:r>
        <w:rPr>
          <w:rFonts w:ascii="宋体" w:hAnsi="宋体" w:hint="eastAsia"/>
        </w:rPr>
        <w:t>5.2 管理需求 （运用）</w:t>
      </w:r>
    </w:p>
    <w:p w:rsidR="00B268C3" w:rsidRDefault="003C6D38">
      <w:pPr>
        <w:pStyle w:val="a3"/>
        <w:spacing w:line="560" w:lineRule="exact"/>
        <w:rPr>
          <w:rFonts w:ascii="宋体" w:hAnsi="宋体"/>
        </w:rPr>
      </w:pPr>
      <w:r>
        <w:rPr>
          <w:rFonts w:ascii="宋体" w:hAnsi="宋体" w:hint="eastAsia"/>
        </w:rPr>
        <w:t>本章节</w:t>
      </w:r>
      <w:r>
        <w:rPr>
          <w:rFonts w:ascii="宋体" w:hAnsi="宋体"/>
        </w:rPr>
        <w:t>的</w:t>
      </w:r>
      <w:r>
        <w:rPr>
          <w:rFonts w:ascii="宋体" w:hAnsi="宋体" w:hint="eastAsia"/>
        </w:rPr>
        <w:t>教学</w:t>
      </w:r>
      <w:r>
        <w:rPr>
          <w:rFonts w:ascii="宋体" w:hAnsi="宋体"/>
        </w:rPr>
        <w:t>内容为</w:t>
      </w:r>
      <w:r>
        <w:rPr>
          <w:rFonts w:ascii="宋体" w:hAnsi="宋体" w:hint="eastAsia"/>
        </w:rPr>
        <w:t>供应链中的供求规划方法。其中，</w:t>
      </w:r>
      <w:r>
        <w:rPr>
          <w:rFonts w:ascii="宋体" w:hAnsi="宋体"/>
        </w:rPr>
        <w:t>重点是管理需求</w:t>
      </w:r>
      <w:r>
        <w:rPr>
          <w:rFonts w:ascii="宋体" w:hAnsi="宋体" w:hint="eastAsia"/>
        </w:rPr>
        <w:t>，同时</w:t>
      </w:r>
      <w:r>
        <w:rPr>
          <w:rFonts w:ascii="宋体" w:hAnsi="宋体"/>
        </w:rPr>
        <w:t>也是难点所在</w:t>
      </w:r>
      <w:r>
        <w:rPr>
          <w:rFonts w:ascii="宋体" w:hAnsi="宋体" w:hint="eastAsia"/>
        </w:rPr>
        <w:t>。课程</w:t>
      </w:r>
      <w:r>
        <w:rPr>
          <w:rFonts w:ascii="宋体" w:hAnsi="宋体"/>
        </w:rPr>
        <w:t>的考核要求</w:t>
      </w:r>
      <w:r>
        <w:rPr>
          <w:rFonts w:ascii="宋体" w:hAnsi="宋体" w:hint="eastAsia"/>
        </w:rPr>
        <w:t>是相关方法</w:t>
      </w:r>
      <w:r>
        <w:rPr>
          <w:rFonts w:ascii="宋体" w:hAnsi="宋体"/>
        </w:rPr>
        <w:t>的实际应用</w:t>
      </w:r>
      <w:r>
        <w:rPr>
          <w:rFonts w:ascii="宋体" w:hAnsi="宋体" w:hint="eastAsia"/>
        </w:rPr>
        <w:t>。</w:t>
      </w:r>
    </w:p>
    <w:p w:rsidR="00B268C3" w:rsidRDefault="003C6D38">
      <w:pPr>
        <w:pStyle w:val="a3"/>
        <w:spacing w:line="560" w:lineRule="exact"/>
        <w:ind w:firstLine="482"/>
        <w:rPr>
          <w:rFonts w:ascii="宋体" w:hAnsi="宋体"/>
        </w:rPr>
      </w:pPr>
      <w:r>
        <w:rPr>
          <w:rFonts w:hint="eastAsia"/>
          <w:b/>
          <w:bCs/>
          <w:szCs w:val="32"/>
        </w:rPr>
        <w:t>课程思政切入点：</w:t>
      </w:r>
      <w:r>
        <w:rPr>
          <w:rFonts w:hint="eastAsia"/>
          <w:szCs w:val="32"/>
        </w:rPr>
        <w:t>通过理论学习、培养学生科学思维方法和创新精神。穿插供应链需求管理相关案例宣扬提升效率、节约资源、绿色制造、匠心精神、勇于改善和创新、精准提升服务的理念。</w:t>
      </w:r>
    </w:p>
    <w:p w:rsidR="00B268C3" w:rsidRDefault="003C6D38">
      <w:pPr>
        <w:pStyle w:val="a3"/>
        <w:spacing w:line="560" w:lineRule="exact"/>
        <w:rPr>
          <w:rFonts w:ascii="宋体" w:hAnsi="宋体"/>
        </w:rPr>
      </w:pPr>
      <w:r>
        <w:rPr>
          <w:rFonts w:ascii="宋体" w:hAnsi="宋体" w:hint="eastAsia"/>
        </w:rPr>
        <w:t xml:space="preserve">第6章 供应链的采购决策 </w:t>
      </w:r>
    </w:p>
    <w:p w:rsidR="00B268C3" w:rsidRDefault="003C6D38">
      <w:pPr>
        <w:pStyle w:val="a3"/>
        <w:spacing w:line="560" w:lineRule="exact"/>
        <w:rPr>
          <w:rFonts w:ascii="宋体" w:hAnsi="宋体"/>
        </w:rPr>
      </w:pPr>
      <w:r>
        <w:rPr>
          <w:rFonts w:ascii="宋体" w:hAnsi="宋体" w:hint="eastAsia"/>
        </w:rPr>
        <w:t>6.1 采购在供应链中的作用 （了解）</w:t>
      </w:r>
    </w:p>
    <w:p w:rsidR="00B268C3" w:rsidRDefault="003C6D38">
      <w:pPr>
        <w:pStyle w:val="a3"/>
        <w:spacing w:line="560" w:lineRule="exact"/>
        <w:rPr>
          <w:rFonts w:ascii="宋体" w:hAnsi="宋体"/>
        </w:rPr>
      </w:pPr>
      <w:r>
        <w:rPr>
          <w:rFonts w:ascii="宋体" w:hAnsi="宋体" w:hint="eastAsia"/>
        </w:rPr>
        <w:t>6.2 外包决策（掌握）</w:t>
      </w:r>
    </w:p>
    <w:p w:rsidR="00B268C3" w:rsidRDefault="003C6D38">
      <w:pPr>
        <w:pStyle w:val="a3"/>
        <w:spacing w:line="560" w:lineRule="exact"/>
        <w:rPr>
          <w:rFonts w:ascii="宋体" w:hAnsi="宋体"/>
        </w:rPr>
      </w:pPr>
      <w:r>
        <w:rPr>
          <w:rFonts w:ascii="宋体" w:hAnsi="宋体" w:hint="eastAsia"/>
        </w:rPr>
        <w:t xml:space="preserve">6.3 供应商评估（掌握） </w:t>
      </w:r>
    </w:p>
    <w:p w:rsidR="00B268C3" w:rsidRDefault="003C6D38">
      <w:pPr>
        <w:pStyle w:val="a3"/>
        <w:spacing w:line="560" w:lineRule="exact"/>
        <w:rPr>
          <w:rFonts w:ascii="宋体" w:hAnsi="宋体"/>
        </w:rPr>
      </w:pPr>
      <w:r>
        <w:rPr>
          <w:rFonts w:ascii="宋体" w:hAnsi="宋体" w:hint="eastAsia"/>
        </w:rPr>
        <w:lastRenderedPageBreak/>
        <w:t>6.4 供应商选择-拍卖和谈判（掌握）</w:t>
      </w:r>
    </w:p>
    <w:p w:rsidR="00B268C3" w:rsidRDefault="003C6D38">
      <w:pPr>
        <w:pStyle w:val="a3"/>
        <w:spacing w:line="560" w:lineRule="exact"/>
        <w:rPr>
          <w:rFonts w:ascii="宋体" w:hAnsi="宋体"/>
        </w:rPr>
      </w:pPr>
      <w:r>
        <w:rPr>
          <w:rFonts w:ascii="宋体" w:hAnsi="宋体" w:hint="eastAsia"/>
        </w:rPr>
        <w:t>6.5 合同、风险共担与供应商绩效（掌握）</w:t>
      </w:r>
    </w:p>
    <w:p w:rsidR="00B268C3" w:rsidRDefault="003C6D38">
      <w:pPr>
        <w:pStyle w:val="a3"/>
        <w:spacing w:line="560" w:lineRule="exact"/>
        <w:rPr>
          <w:rFonts w:ascii="宋体" w:hAnsi="宋体"/>
        </w:rPr>
      </w:pPr>
      <w:r>
        <w:rPr>
          <w:rFonts w:ascii="宋体" w:hAnsi="宋体" w:hint="eastAsia"/>
        </w:rPr>
        <w:t>本章节</w:t>
      </w:r>
      <w:r>
        <w:rPr>
          <w:rFonts w:ascii="宋体" w:hAnsi="宋体"/>
        </w:rPr>
        <w:t>的</w:t>
      </w:r>
      <w:r>
        <w:rPr>
          <w:rFonts w:ascii="宋体" w:hAnsi="宋体" w:hint="eastAsia"/>
        </w:rPr>
        <w:t>教学</w:t>
      </w:r>
      <w:r>
        <w:rPr>
          <w:rFonts w:ascii="宋体" w:hAnsi="宋体"/>
        </w:rPr>
        <w:t>内容为</w:t>
      </w:r>
      <w:r>
        <w:rPr>
          <w:rFonts w:ascii="宋体" w:hAnsi="宋体" w:hint="eastAsia"/>
        </w:rPr>
        <w:t>供应链的采购决策。其中，</w:t>
      </w:r>
      <w:r>
        <w:rPr>
          <w:rFonts w:ascii="宋体" w:hAnsi="宋体"/>
        </w:rPr>
        <w:t>重点是供应商评估、供应商选择以及供应商绩效</w:t>
      </w:r>
      <w:r>
        <w:rPr>
          <w:rFonts w:ascii="宋体" w:hAnsi="宋体" w:hint="eastAsia"/>
        </w:rPr>
        <w:t>。</w:t>
      </w:r>
      <w:r>
        <w:rPr>
          <w:rFonts w:ascii="宋体" w:hAnsi="宋体"/>
        </w:rPr>
        <w:t>难点</w:t>
      </w:r>
      <w:r>
        <w:rPr>
          <w:rFonts w:ascii="宋体" w:hAnsi="宋体" w:hint="eastAsia"/>
        </w:rPr>
        <w:t>是合同、风险共担与供应商绩效。课程考核的要求是相关方法的实际应用。</w:t>
      </w:r>
    </w:p>
    <w:p w:rsidR="00B268C3" w:rsidRDefault="003C6D38">
      <w:pPr>
        <w:pStyle w:val="a3"/>
        <w:spacing w:line="560" w:lineRule="exact"/>
        <w:rPr>
          <w:rFonts w:ascii="宋体" w:hAnsi="宋体"/>
        </w:rPr>
      </w:pPr>
      <w:r>
        <w:rPr>
          <w:rFonts w:ascii="宋体" w:hAnsi="宋体" w:hint="eastAsia"/>
        </w:rPr>
        <w:t>第7章 供应链的定价和收益管理</w:t>
      </w:r>
    </w:p>
    <w:p w:rsidR="00B268C3" w:rsidRDefault="003C6D38">
      <w:pPr>
        <w:pStyle w:val="a3"/>
        <w:spacing w:line="560" w:lineRule="exact"/>
        <w:rPr>
          <w:rFonts w:ascii="宋体" w:hAnsi="宋体"/>
        </w:rPr>
      </w:pPr>
      <w:r>
        <w:rPr>
          <w:rFonts w:ascii="宋体" w:hAnsi="宋体" w:hint="eastAsia"/>
        </w:rPr>
        <w:t>7.1 定价和收益管理在供应链中的作用（了解）</w:t>
      </w:r>
    </w:p>
    <w:p w:rsidR="00B268C3" w:rsidRDefault="003C6D38">
      <w:pPr>
        <w:pStyle w:val="a3"/>
        <w:spacing w:line="560" w:lineRule="exact"/>
        <w:rPr>
          <w:rFonts w:ascii="宋体" w:hAnsi="宋体"/>
        </w:rPr>
      </w:pPr>
      <w:r>
        <w:rPr>
          <w:rFonts w:ascii="宋体" w:hAnsi="宋体" w:hint="eastAsia"/>
        </w:rPr>
        <w:t>7.2 多个顾客细分市场的定价和收益管理（掌握）</w:t>
      </w:r>
    </w:p>
    <w:p w:rsidR="00B268C3" w:rsidRDefault="003C6D38">
      <w:pPr>
        <w:pStyle w:val="a3"/>
        <w:spacing w:line="560" w:lineRule="exact"/>
        <w:rPr>
          <w:rFonts w:ascii="宋体" w:hAnsi="宋体"/>
        </w:rPr>
      </w:pPr>
      <w:r>
        <w:rPr>
          <w:rFonts w:ascii="宋体" w:hAnsi="宋体" w:hint="eastAsia"/>
        </w:rPr>
        <w:t>7.3 易逝品的定价和收益管理（掌握）</w:t>
      </w:r>
    </w:p>
    <w:p w:rsidR="00B268C3" w:rsidRDefault="003C6D38">
      <w:pPr>
        <w:pStyle w:val="a3"/>
        <w:spacing w:line="560" w:lineRule="exact"/>
        <w:rPr>
          <w:rFonts w:ascii="宋体" w:hAnsi="宋体"/>
        </w:rPr>
      </w:pPr>
      <w:r>
        <w:rPr>
          <w:rFonts w:ascii="宋体" w:hAnsi="宋体" w:hint="eastAsia"/>
        </w:rPr>
        <w:t>7.4 季节性需求的定价和收益管理（掌握）</w:t>
      </w:r>
    </w:p>
    <w:p w:rsidR="00B268C3" w:rsidRDefault="003C6D38">
      <w:pPr>
        <w:pStyle w:val="a3"/>
        <w:spacing w:line="560" w:lineRule="exact"/>
        <w:rPr>
          <w:rFonts w:ascii="宋体" w:hAnsi="宋体"/>
        </w:rPr>
      </w:pPr>
      <w:r>
        <w:rPr>
          <w:rFonts w:ascii="宋体" w:hAnsi="宋体" w:hint="eastAsia"/>
        </w:rPr>
        <w:t>7.5 大宗合同与零星合同的定价和收益管理（掌握）</w:t>
      </w:r>
    </w:p>
    <w:p w:rsidR="00B268C3" w:rsidRDefault="003C6D38">
      <w:pPr>
        <w:pStyle w:val="a3"/>
        <w:spacing w:line="560" w:lineRule="exact"/>
        <w:rPr>
          <w:rFonts w:ascii="宋体" w:hAnsi="宋体"/>
        </w:rPr>
      </w:pPr>
      <w:r>
        <w:rPr>
          <w:rFonts w:ascii="宋体" w:hAnsi="宋体" w:hint="eastAsia"/>
        </w:rPr>
        <w:t>本章节的教学内容为供应链的定价和收益管理。其中，重点是多个顾客细分市场的定价和收益管理。难点是易逝品、季节性需求以及大宗合同与零星合同的定价和收益管理。课程考核的要求是相关方法的实际应用。</w:t>
      </w:r>
    </w:p>
    <w:p w:rsidR="00B268C3" w:rsidRDefault="003C6D38">
      <w:pPr>
        <w:pStyle w:val="a3"/>
        <w:spacing w:line="560" w:lineRule="exact"/>
        <w:ind w:firstLine="482"/>
        <w:rPr>
          <w:rFonts w:ascii="宋体" w:hAnsi="宋体"/>
        </w:rPr>
      </w:pPr>
      <w:r>
        <w:rPr>
          <w:rFonts w:hint="eastAsia"/>
          <w:b/>
          <w:bCs/>
          <w:szCs w:val="32"/>
        </w:rPr>
        <w:t>课程思政切入点：</w:t>
      </w:r>
      <w:r>
        <w:rPr>
          <w:rFonts w:hint="eastAsia"/>
          <w:szCs w:val="32"/>
        </w:rPr>
        <w:t>通过理论学习、培养学生科学思维方法和创新精神。穿插供应链协调相关案例宣扬提升效率、节约资源、精益求精、勇于改善和创新、精准提升服务的理念。</w:t>
      </w:r>
    </w:p>
    <w:p w:rsidR="0005128D" w:rsidRDefault="0005128D">
      <w:pPr>
        <w:spacing w:line="560" w:lineRule="exact"/>
        <w:ind w:firstLineChars="200" w:firstLine="480"/>
        <w:rPr>
          <w:rFonts w:ascii="黑体" w:eastAsia="黑体" w:hAnsi="黑体"/>
          <w:bCs/>
          <w:sz w:val="24"/>
          <w:szCs w:val="32"/>
        </w:rPr>
      </w:pPr>
    </w:p>
    <w:p w:rsidR="00B268C3" w:rsidRDefault="003C6D38">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五、考核方式、成绩评定</w:t>
      </w:r>
    </w:p>
    <w:p w:rsidR="00B268C3" w:rsidRDefault="003C6D38">
      <w:pPr>
        <w:pStyle w:val="a3"/>
        <w:spacing w:line="560" w:lineRule="exact"/>
        <w:rPr>
          <w:rFonts w:ascii="宋体" w:hAnsi="宋体"/>
        </w:rPr>
      </w:pPr>
      <w:r>
        <w:rPr>
          <w:rFonts w:ascii="宋体" w:hAnsi="宋体" w:hint="eastAsia"/>
        </w:rPr>
        <w:t>本课程所采用的考核方法为考查；</w:t>
      </w:r>
    </w:p>
    <w:p w:rsidR="00B268C3" w:rsidRDefault="003C6D38">
      <w:pPr>
        <w:pStyle w:val="a3"/>
        <w:spacing w:line="560" w:lineRule="exact"/>
        <w:rPr>
          <w:rFonts w:ascii="宋体" w:hAnsi="宋体"/>
        </w:rPr>
      </w:pPr>
      <w:r>
        <w:rPr>
          <w:rFonts w:ascii="宋体" w:hAnsi="宋体" w:hint="eastAsia"/>
        </w:rPr>
        <w:t>本课程平时成绩占40</w:t>
      </w:r>
      <w:r>
        <w:rPr>
          <w:rFonts w:ascii="宋体" w:hAnsi="宋体"/>
        </w:rPr>
        <w:t>%</w:t>
      </w:r>
      <w:r>
        <w:rPr>
          <w:rFonts w:ascii="宋体" w:hAnsi="宋体" w:hint="eastAsia"/>
        </w:rPr>
        <w:t>，期末考试成绩占6</w:t>
      </w:r>
      <w:r>
        <w:rPr>
          <w:rFonts w:ascii="宋体" w:hAnsi="宋体"/>
        </w:rPr>
        <w:t>0%</w:t>
      </w:r>
      <w:r w:rsidR="0005128D">
        <w:rPr>
          <w:rFonts w:ascii="宋体" w:hAnsi="宋体" w:hint="eastAsia"/>
        </w:rPr>
        <w:t>。</w:t>
      </w:r>
    </w:p>
    <w:p w:rsidR="0005128D" w:rsidRDefault="0005128D">
      <w:pPr>
        <w:spacing w:line="560" w:lineRule="exact"/>
        <w:ind w:firstLineChars="200" w:firstLine="480"/>
        <w:rPr>
          <w:rFonts w:ascii="黑体" w:eastAsia="黑体" w:hAnsi="黑体"/>
          <w:bCs/>
          <w:sz w:val="24"/>
          <w:szCs w:val="32"/>
        </w:rPr>
      </w:pPr>
    </w:p>
    <w:p w:rsidR="00B268C3" w:rsidRDefault="003C6D38">
      <w:pPr>
        <w:spacing w:line="560" w:lineRule="exact"/>
        <w:ind w:firstLineChars="200" w:firstLine="480"/>
        <w:rPr>
          <w:rFonts w:ascii="仿宋_GB2312" w:eastAsia="仿宋_GB2312"/>
          <w:sz w:val="32"/>
          <w:szCs w:val="32"/>
        </w:rPr>
      </w:pPr>
      <w:r>
        <w:rPr>
          <w:rFonts w:ascii="黑体" w:eastAsia="黑体" w:hAnsi="黑体" w:hint="eastAsia"/>
          <w:bCs/>
          <w:sz w:val="24"/>
          <w:szCs w:val="32"/>
        </w:rPr>
        <w:t>六、主要参考书及其他内容</w:t>
      </w:r>
    </w:p>
    <w:p w:rsidR="00B268C3" w:rsidRDefault="003C6D38">
      <w:pPr>
        <w:pStyle w:val="a3"/>
        <w:spacing w:line="560" w:lineRule="exact"/>
        <w:rPr>
          <w:rFonts w:ascii="宋体" w:hAnsi="宋体"/>
        </w:rPr>
      </w:pPr>
      <w:r>
        <w:rPr>
          <w:rFonts w:ascii="宋体" w:hAnsi="宋体" w:hint="eastAsia"/>
        </w:rPr>
        <w:t>参考</w:t>
      </w:r>
      <w:r>
        <w:rPr>
          <w:rFonts w:ascii="宋体" w:hAnsi="宋体"/>
        </w:rPr>
        <w:t>书目如下：</w:t>
      </w:r>
    </w:p>
    <w:p w:rsidR="00B268C3" w:rsidRDefault="003C6D38">
      <w:pPr>
        <w:pStyle w:val="a3"/>
        <w:numPr>
          <w:ilvl w:val="1"/>
          <w:numId w:val="2"/>
        </w:numPr>
        <w:spacing w:line="560" w:lineRule="exact"/>
        <w:ind w:firstLineChars="0"/>
        <w:rPr>
          <w:rFonts w:ascii="宋体" w:hAnsi="宋体"/>
        </w:rPr>
      </w:pPr>
      <w:r>
        <w:rPr>
          <w:rFonts w:ascii="宋体" w:hAnsi="宋体" w:hint="eastAsia"/>
        </w:rPr>
        <w:lastRenderedPageBreak/>
        <w:t>刘曙光等译.《供应链管理：战略、计划和运作》（第五版）.清华大学出版社.2019.5</w:t>
      </w:r>
    </w:p>
    <w:p w:rsidR="00B268C3" w:rsidRDefault="003C6D38">
      <w:pPr>
        <w:pStyle w:val="a3"/>
        <w:numPr>
          <w:ilvl w:val="1"/>
          <w:numId w:val="2"/>
        </w:numPr>
        <w:spacing w:line="560" w:lineRule="exact"/>
        <w:ind w:firstLineChars="0"/>
        <w:rPr>
          <w:rFonts w:ascii="宋体" w:hAnsi="宋体"/>
        </w:rPr>
      </w:pPr>
      <w:r>
        <w:rPr>
          <w:rFonts w:ascii="宋体" w:hAnsi="宋体" w:hint="eastAsia"/>
        </w:rPr>
        <w:t>苏尼尔.乔普拉.《供应链管理》（第五版）.中国人民大学出版社.2013.3</w:t>
      </w:r>
    </w:p>
    <w:p w:rsidR="00B268C3" w:rsidRDefault="003C6D38">
      <w:pPr>
        <w:pStyle w:val="a3"/>
        <w:numPr>
          <w:ilvl w:val="1"/>
          <w:numId w:val="2"/>
        </w:numPr>
        <w:spacing w:line="560" w:lineRule="exact"/>
        <w:ind w:firstLineChars="0"/>
        <w:rPr>
          <w:rFonts w:ascii="宋体" w:hAnsi="宋体"/>
        </w:rPr>
      </w:pPr>
      <w:r>
        <w:rPr>
          <w:rFonts w:ascii="宋体" w:hAnsi="宋体" w:hint="eastAsia"/>
        </w:rPr>
        <w:t>马士华，林勇.《供应链管理》（第五版）.机械工业出版社.2016.11</w:t>
      </w:r>
    </w:p>
    <w:p w:rsidR="0005128D" w:rsidRDefault="0005128D">
      <w:pPr>
        <w:pStyle w:val="a3"/>
        <w:spacing w:line="560" w:lineRule="exact"/>
        <w:rPr>
          <w:rFonts w:ascii="宋体" w:hAnsi="宋体"/>
        </w:rPr>
      </w:pPr>
    </w:p>
    <w:p w:rsidR="0005128D" w:rsidRDefault="0005128D">
      <w:pPr>
        <w:pStyle w:val="a3"/>
        <w:spacing w:line="560" w:lineRule="exact"/>
        <w:rPr>
          <w:rFonts w:ascii="宋体" w:hAnsi="宋体"/>
        </w:rPr>
      </w:pPr>
    </w:p>
    <w:p w:rsidR="00B268C3" w:rsidRPr="0005128D" w:rsidRDefault="003C6D38" w:rsidP="0070107E">
      <w:pPr>
        <w:pStyle w:val="a3"/>
        <w:spacing w:line="560" w:lineRule="exact"/>
      </w:pPr>
      <w:r>
        <w:rPr>
          <w:rFonts w:ascii="宋体" w:hAnsi="宋体" w:hint="eastAsia"/>
        </w:rPr>
        <w:t>执笔人：赵灿灿     教研室主任：马峻　　　　　 系教学主任审核签名：</w:t>
      </w:r>
    </w:p>
    <w:sectPr w:rsidR="00B268C3" w:rsidRPr="0005128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50B3" w:rsidRDefault="001850B3" w:rsidP="0005128D">
      <w:r>
        <w:separator/>
      </w:r>
    </w:p>
  </w:endnote>
  <w:endnote w:type="continuationSeparator" w:id="0">
    <w:p w:rsidR="001850B3" w:rsidRDefault="001850B3" w:rsidP="00051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50B3" w:rsidRDefault="001850B3" w:rsidP="0005128D">
      <w:r>
        <w:separator/>
      </w:r>
    </w:p>
  </w:footnote>
  <w:footnote w:type="continuationSeparator" w:id="0">
    <w:p w:rsidR="001850B3" w:rsidRDefault="001850B3" w:rsidP="0005128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46BEA"/>
    <w:multiLevelType w:val="multilevel"/>
    <w:tmpl w:val="1F746BEA"/>
    <w:lvl w:ilvl="0">
      <w:start w:val="1"/>
      <w:numFmt w:val="decimal"/>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4C5D63E6"/>
    <w:multiLevelType w:val="multilevel"/>
    <w:tmpl w:val="4C5D63E6"/>
    <w:lvl w:ilvl="0">
      <w:start w:val="1"/>
      <w:numFmt w:val="decimal"/>
      <w:lvlText w:val="[%1]"/>
      <w:lvlJc w:val="left"/>
      <w:pPr>
        <w:ind w:left="900" w:hanging="420"/>
      </w:pPr>
      <w:rPr>
        <w:rFonts w:hint="eastAsia"/>
      </w:r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1A9D"/>
    <w:rsid w:val="0005128D"/>
    <w:rsid w:val="00054BB2"/>
    <w:rsid w:val="000950DC"/>
    <w:rsid w:val="001154FA"/>
    <w:rsid w:val="001850B3"/>
    <w:rsid w:val="00190D82"/>
    <w:rsid w:val="00235D69"/>
    <w:rsid w:val="00241A9D"/>
    <w:rsid w:val="002D1547"/>
    <w:rsid w:val="0030295E"/>
    <w:rsid w:val="0035306C"/>
    <w:rsid w:val="00393B25"/>
    <w:rsid w:val="003C57FD"/>
    <w:rsid w:val="003C6D38"/>
    <w:rsid w:val="00421E8B"/>
    <w:rsid w:val="00426A51"/>
    <w:rsid w:val="00461034"/>
    <w:rsid w:val="004631D3"/>
    <w:rsid w:val="004C30CC"/>
    <w:rsid w:val="004C51A0"/>
    <w:rsid w:val="005B1A9E"/>
    <w:rsid w:val="005E6C53"/>
    <w:rsid w:val="0070107E"/>
    <w:rsid w:val="007109B4"/>
    <w:rsid w:val="00732DA3"/>
    <w:rsid w:val="007A343A"/>
    <w:rsid w:val="007A614E"/>
    <w:rsid w:val="007B51E2"/>
    <w:rsid w:val="007C2715"/>
    <w:rsid w:val="00811605"/>
    <w:rsid w:val="008345AD"/>
    <w:rsid w:val="00890310"/>
    <w:rsid w:val="008A2286"/>
    <w:rsid w:val="008E0A43"/>
    <w:rsid w:val="009A2D63"/>
    <w:rsid w:val="009B6099"/>
    <w:rsid w:val="00A20221"/>
    <w:rsid w:val="00A276B4"/>
    <w:rsid w:val="00A51939"/>
    <w:rsid w:val="00A70068"/>
    <w:rsid w:val="00AB25B0"/>
    <w:rsid w:val="00AF7BBB"/>
    <w:rsid w:val="00B268C3"/>
    <w:rsid w:val="00B3309C"/>
    <w:rsid w:val="00B50C85"/>
    <w:rsid w:val="00B97A74"/>
    <w:rsid w:val="00BF5346"/>
    <w:rsid w:val="00C065DD"/>
    <w:rsid w:val="00C10723"/>
    <w:rsid w:val="00C17EBD"/>
    <w:rsid w:val="00C24B35"/>
    <w:rsid w:val="00C7059A"/>
    <w:rsid w:val="00C7480D"/>
    <w:rsid w:val="00CC4C70"/>
    <w:rsid w:val="00D126CD"/>
    <w:rsid w:val="00D67CAE"/>
    <w:rsid w:val="00DB0D5A"/>
    <w:rsid w:val="00DB1279"/>
    <w:rsid w:val="00E86BE2"/>
    <w:rsid w:val="00EC006C"/>
    <w:rsid w:val="00EF0BEE"/>
    <w:rsid w:val="00FA3B5B"/>
    <w:rsid w:val="00FD24FC"/>
    <w:rsid w:val="1EEA6BA1"/>
    <w:rsid w:val="5EE35089"/>
    <w:rsid w:val="66594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26B893C-A58E-4389-AC47-931F3AA59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1"/>
    <w:uiPriority w:val="99"/>
    <w:semiHidden/>
    <w:qFormat/>
    <w:pPr>
      <w:spacing w:line="360" w:lineRule="auto"/>
      <w:ind w:firstLineChars="200" w:firstLine="480"/>
    </w:pPr>
    <w:rPr>
      <w:sz w:val="24"/>
    </w:r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pPr>
      <w:widowControl/>
      <w:spacing w:before="240" w:after="240"/>
      <w:jc w:val="left"/>
    </w:pPr>
    <w:rPr>
      <w:rFonts w:ascii="宋体" w:hAnsi="宋体" w:cs="宋体"/>
      <w:kern w:val="0"/>
      <w:sz w:val="24"/>
    </w:rPr>
  </w:style>
  <w:style w:type="character" w:customStyle="1" w:styleId="a9">
    <w:name w:val="正文文本缩进 字符"/>
    <w:basedOn w:val="a0"/>
    <w:uiPriority w:val="99"/>
    <w:semiHidden/>
    <w:qFormat/>
    <w:rPr>
      <w:rFonts w:ascii="Times New Roman" w:eastAsia="宋体" w:hAnsi="Times New Roman" w:cs="Times New Roman"/>
      <w:szCs w:val="24"/>
    </w:rPr>
  </w:style>
  <w:style w:type="character" w:customStyle="1" w:styleId="1">
    <w:name w:val="正文文本缩进 字符1"/>
    <w:link w:val="a3"/>
    <w:uiPriority w:val="99"/>
    <w:semiHidden/>
    <w:qFormat/>
    <w:rPr>
      <w:rFonts w:ascii="Times New Roman" w:eastAsia="宋体" w:hAnsi="Times New Roman" w:cs="Times New Roman"/>
      <w:sz w:val="24"/>
      <w:szCs w:val="24"/>
    </w:rPr>
  </w:style>
  <w:style w:type="character" w:customStyle="1" w:styleId="a7">
    <w:name w:val="页眉 字符"/>
    <w:basedOn w:val="a0"/>
    <w:link w:val="a6"/>
    <w:uiPriority w:val="99"/>
    <w:qFormat/>
    <w:rPr>
      <w:rFonts w:ascii="Times New Roman" w:eastAsia="宋体" w:hAnsi="Times New Roman" w:cs="Times New Roman"/>
      <w:sz w:val="18"/>
      <w:szCs w:val="18"/>
    </w:rPr>
  </w:style>
  <w:style w:type="character" w:customStyle="1" w:styleId="a5">
    <w:name w:val="页脚 字符"/>
    <w:basedOn w:val="a0"/>
    <w:link w:val="a4"/>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A6836E-A9FC-4C94-A3A0-D8CC3C28B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388</Words>
  <Characters>2214</Characters>
  <Application>Microsoft Office Word</Application>
  <DocSecurity>0</DocSecurity>
  <Lines>18</Lines>
  <Paragraphs>5</Paragraphs>
  <ScaleCrop>false</ScaleCrop>
  <Company>P R C</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dell</cp:lastModifiedBy>
  <cp:revision>9</cp:revision>
  <dcterms:created xsi:type="dcterms:W3CDTF">2021-03-26T12:36:00Z</dcterms:created>
  <dcterms:modified xsi:type="dcterms:W3CDTF">2021-05-17T08:06:00Z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