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1EC" w:rsidRDefault="00A544C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《管理方法论》</w:t>
      </w:r>
      <w:r w:rsidR="00841AAC">
        <w:rPr>
          <w:rFonts w:ascii="黑体" w:eastAsia="黑体" w:hAnsi="黑体" w:hint="eastAsia"/>
          <w:sz w:val="32"/>
          <w:szCs w:val="32"/>
        </w:rPr>
        <w:t>教学大纲</w:t>
      </w:r>
    </w:p>
    <w:p w:rsidR="00C351EC" w:rsidRDefault="00C351EC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351EC" w:rsidRPr="008548D0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="00A544CE" w:rsidRPr="008548D0">
        <w:rPr>
          <w:sz w:val="28"/>
          <w:szCs w:val="28"/>
        </w:rPr>
        <w:t>2121172A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t>□通识教育必修课  □通识教育选修课</w:t>
      </w:r>
    </w:p>
    <w:p w:rsidR="00C351EC" w:rsidRDefault="008548D0">
      <w:pPr>
        <w:pStyle w:val="af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841AAC">
        <w:rPr>
          <w:rFonts w:hint="eastAsia"/>
          <w:sz w:val="28"/>
          <w:szCs w:val="28"/>
        </w:rPr>
        <w:t>学科基础课      □专业核心课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 学 时：</w:t>
      </w:r>
      <w:r>
        <w:rPr>
          <w:rFonts w:asciiTheme="minorEastAsia" w:eastAsiaTheme="minorEastAsia" w:hAnsiTheme="minorEastAsia" w:hint="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讲课学时：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32 </w:t>
      </w:r>
      <w:r>
        <w:rPr>
          <w:rFonts w:ascii="黑体" w:eastAsia="黑体" w:hAnsi="黑体" w:hint="eastAsia"/>
          <w:sz w:val="28"/>
          <w:szCs w:val="28"/>
        </w:rPr>
        <w:t xml:space="preserve">   实验（上机）学时：</w:t>
      </w:r>
      <w:r w:rsidR="00A544CE">
        <w:rPr>
          <w:rFonts w:ascii="黑体" w:eastAsia="黑体" w:hAnsi="黑体" w:hint="eastAsia"/>
          <w:sz w:val="28"/>
          <w:szCs w:val="28"/>
        </w:rPr>
        <w:t>0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asciiTheme="minorEastAsia" w:eastAsiaTheme="minorEastAsia" w:hAnsiTheme="minorEastAsia" w:hint="eastAsia"/>
          <w:sz w:val="28"/>
          <w:szCs w:val="28"/>
        </w:rPr>
        <w:t>2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>
        <w:rPr>
          <w:rFonts w:asciiTheme="minorEastAsia" w:eastAsiaTheme="minorEastAsia" w:hAnsiTheme="minorEastAsia" w:hint="eastAsia"/>
          <w:sz w:val="28"/>
          <w:szCs w:val="28"/>
        </w:rPr>
        <w:sym w:font="Wingdings 2" w:char="0052"/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考试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sym w:font="Wingdings 2" w:char="00A3"/>
      </w:r>
      <w:r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asciiTheme="minorEastAsia" w:eastAsiaTheme="minorEastAsia" w:hAnsiTheme="minorEastAsia" w:hint="eastAsia"/>
          <w:sz w:val="28"/>
          <w:szCs w:val="28"/>
        </w:rPr>
        <w:t>工业工程专业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8548D0">
        <w:rPr>
          <w:rFonts w:hint="eastAsia"/>
          <w:sz w:val="28"/>
          <w:szCs w:val="28"/>
        </w:rPr>
        <w:sym w:font="Wingdings 2" w:char="F052"/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是   </w:t>
      </w:r>
      <w:r>
        <w:rPr>
          <w:rFonts w:asciiTheme="minorEastAsia" w:eastAsiaTheme="minorEastAsia" w:hAnsiTheme="minorEastAsia" w:hint="eastAsia"/>
          <w:sz w:val="28"/>
          <w:szCs w:val="28"/>
        </w:rPr>
        <w:sym w:font="Wingdings 2" w:char="00A3"/>
      </w:r>
      <w:r>
        <w:rPr>
          <w:rFonts w:asciiTheme="minorEastAsia" w:eastAsiaTheme="minorEastAsia" w:hAnsiTheme="minorEastAsia" w:hint="eastAsia"/>
          <w:sz w:val="28"/>
          <w:szCs w:val="28"/>
        </w:rPr>
        <w:t>否 适合</w:t>
      </w:r>
      <w:r>
        <w:rPr>
          <w:rFonts w:asciiTheme="minorEastAsia" w:eastAsiaTheme="minorEastAsia" w:hAnsiTheme="minorEastAsia"/>
          <w:sz w:val="28"/>
          <w:szCs w:val="28"/>
        </w:rPr>
        <w:t>作为其他专业</w:t>
      </w:r>
      <w:r>
        <w:rPr>
          <w:rFonts w:asciiTheme="minorEastAsia" w:eastAsiaTheme="minorEastAsia" w:hAnsiTheme="minorEastAsia" w:hint="eastAsia"/>
          <w:sz w:val="28"/>
          <w:szCs w:val="28"/>
        </w:rPr>
        <w:t>学生</w:t>
      </w:r>
      <w:r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C351EC" w:rsidRDefault="00841AAC">
      <w:pPr>
        <w:pStyle w:val="af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asciiTheme="minorEastAsia" w:eastAsiaTheme="minorEastAsia" w:hAnsiTheme="minorEastAsia" w:hint="eastAsia"/>
          <w:sz w:val="28"/>
          <w:szCs w:val="28"/>
        </w:rPr>
        <w:t>无</w:t>
      </w:r>
    </w:p>
    <w:p w:rsidR="00C351EC" w:rsidRDefault="00841AAC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管理</w:t>
      </w:r>
      <w:r>
        <w:rPr>
          <w:rFonts w:ascii="宋体" w:hAnsi="宋体" w:hint="eastAsia"/>
          <w:lang w:val="en-US"/>
        </w:rPr>
        <w:t>方法论</w:t>
      </w:r>
      <w:r>
        <w:rPr>
          <w:rFonts w:ascii="宋体" w:hAnsi="宋体" w:hint="eastAsia"/>
        </w:rPr>
        <w:t>是工业工程专业学生的一门学科基础课。通过本课程的学习，使得工业工程学生能够认识到管理学的原理与方法；并进一步在现有的条件下，如何通过合理的组织和配置人、财、物等因素，提高生产力的水平。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目标1：能够培养学习管理的兴趣；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目标2：能够熟悉基本的管理工作程序，掌握基本的管理工具、方法等；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目标3：能够运用基本的管理知识解决现实中的管理问题。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  <w:lang w:val="en-US"/>
        </w:rPr>
      </w:pPr>
      <w:r>
        <w:rPr>
          <w:rFonts w:hint="eastAsia"/>
          <w:b/>
          <w:bCs/>
          <w:szCs w:val="32"/>
          <w:lang w:val="en-US"/>
        </w:rPr>
        <w:t>课程思政目标：</w:t>
      </w:r>
      <w:r>
        <w:rPr>
          <w:rFonts w:hint="eastAsia"/>
          <w:szCs w:val="32"/>
          <w:lang w:val="en-US"/>
        </w:rPr>
        <w:t>弘扬中国优秀管理思想。</w:t>
      </w:r>
    </w:p>
    <w:p w:rsidR="00C351EC" w:rsidRDefault="00841AAC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C351EC" w:rsidRDefault="00841AAC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</w:t>
      </w:r>
      <w:r>
        <w:rPr>
          <w:rFonts w:ascii="宋体" w:hAnsi="宋体"/>
          <w:sz w:val="24"/>
        </w:rPr>
        <w:t>教学内容的</w:t>
      </w:r>
      <w:r>
        <w:rPr>
          <w:rFonts w:ascii="宋体" w:hAnsi="宋体" w:hint="eastAsia"/>
          <w:sz w:val="24"/>
        </w:rPr>
        <w:t>讲授方案</w:t>
      </w:r>
      <w:r>
        <w:rPr>
          <w:rFonts w:ascii="宋体" w:hAnsi="宋体"/>
          <w:sz w:val="24"/>
        </w:rPr>
        <w:t>如下：</w:t>
      </w:r>
    </w:p>
    <w:p w:rsidR="00C351EC" w:rsidRDefault="00841AAC">
      <w:pPr>
        <w:numPr>
          <w:ilvl w:val="0"/>
          <w:numId w:val="1"/>
        </w:numPr>
        <w:spacing w:line="5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细讲管理的内涵；（理论</w:t>
      </w:r>
      <w:r>
        <w:rPr>
          <w:rFonts w:ascii="宋体" w:hAnsi="宋体"/>
          <w:sz w:val="24"/>
        </w:rPr>
        <w:t>教学</w:t>
      </w:r>
      <w:r>
        <w:rPr>
          <w:rFonts w:ascii="宋体" w:hAnsi="宋体" w:hint="eastAsia"/>
          <w:sz w:val="24"/>
        </w:rPr>
        <w:t>）</w:t>
      </w:r>
    </w:p>
    <w:p w:rsidR="00C351EC" w:rsidRDefault="00841AAC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通过本部分内容的学习，能够知晓管理的发展、管理的基本原理和方法，以及管理管理道德和社会责任等。</w:t>
      </w:r>
    </w:p>
    <w:p w:rsidR="00C351EC" w:rsidRDefault="00841AAC">
      <w:pPr>
        <w:pStyle w:val="af8"/>
        <w:numPr>
          <w:ilvl w:val="0"/>
          <w:numId w:val="1"/>
        </w:numPr>
        <w:snapToGrid w:val="0"/>
        <w:spacing w:line="56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精讲管理过程。包括：决策、计划、组织、领导、激励、沟通、控制、创新等管理的职能活动。（理论+案例教学）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val="en-US"/>
        </w:rPr>
        <w:t>其中，案例教学过程中，通过实际</w:t>
      </w:r>
      <w:r>
        <w:rPr>
          <w:rFonts w:ascii="宋体" w:hAnsi="宋体"/>
          <w:lang w:val="en-US"/>
        </w:rPr>
        <w:t>案例分析，理论联系实际，有利于学生更好的掌握要领，在以后的工作中更好的发挥作用</w:t>
      </w:r>
      <w:r>
        <w:rPr>
          <w:rFonts w:ascii="宋体" w:hAnsi="宋体" w:hint="eastAsia"/>
          <w:lang w:val="en-US"/>
        </w:rPr>
        <w:t>。</w:t>
      </w:r>
    </w:p>
    <w:p w:rsidR="00C351EC" w:rsidRDefault="00841AAC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以表格方式表现各章节的学时分配，表格如下：</w:t>
      </w:r>
    </w:p>
    <w:p w:rsidR="00C351EC" w:rsidRDefault="00841AAC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060"/>
        <w:gridCol w:w="1080"/>
        <w:gridCol w:w="1080"/>
        <w:gridCol w:w="1080"/>
        <w:gridCol w:w="885"/>
      </w:tblGrid>
      <w:tr w:rsidR="00C351EC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EC" w:rsidRDefault="00841AAC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案例</w:t>
            </w:r>
          </w:p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教学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C351EC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管理学概述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决策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计划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组织设计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人员配备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领导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激励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沟通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控制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Cs/>
                <w:sz w:val="24"/>
              </w:rPr>
              <w:t>创新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C351EC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lastRenderedPageBreak/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EC" w:rsidRDefault="00C351E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1EC" w:rsidRDefault="00841AA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</w:tr>
    </w:tbl>
    <w:p w:rsidR="00C351EC" w:rsidRDefault="00841AAC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第1章  管理学概述 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1.1管理与管理学（了解） 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 管理思想的发展（理解）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1.3管理环境与管理道德（理解）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管理与管理学的关系，</w:t>
      </w:r>
      <w:r>
        <w:rPr>
          <w:rFonts w:ascii="宋体" w:hAnsi="宋体"/>
        </w:rPr>
        <w:t>行为科学理论和科学管理理，管理者道德行为的影响因素</w:t>
      </w:r>
      <w:r>
        <w:rPr>
          <w:rFonts w:ascii="宋体" w:hAnsi="宋体" w:hint="eastAsia"/>
        </w:rPr>
        <w:t>。难点是</w:t>
      </w:r>
      <w:r>
        <w:rPr>
          <w:rFonts w:ascii="宋体" w:hAnsi="宋体"/>
        </w:rPr>
        <w:t>管理思想在生活中的运用，社会责任的内涵。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了解管理与管理学的关系。理解管理思想的发展和管理环境与管理道德。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通过理论学习、培养学生科学管理的思想以及管理精细化的精神。穿插我国管理环境相关案例宣扬家国情怀、精益求精、勇于创新、不忘初心的匠心精神。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第2章 决策 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2.1 预测的程序和方法（了解）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2.2 决策的类型和方法（掌握）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/>
        </w:rPr>
        <w:t>重点是决策的依据、过程和方法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t>也是难点所在</w:t>
      </w:r>
      <w:r>
        <w:rPr>
          <w:rFonts w:ascii="宋体" w:hAnsi="宋体" w:hint="eastAsia"/>
        </w:rPr>
        <w:t>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第3章 计划 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3.1 计划的编制 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3.2 目标管理 （运用）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/>
        </w:rPr>
        <w:t>重点是计划的组织和实施，以及目标管理方法的运用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lastRenderedPageBreak/>
        <w:t>也是难点所在</w:t>
      </w:r>
      <w:r>
        <w:rPr>
          <w:rFonts w:ascii="宋体" w:hAnsi="宋体" w:hint="eastAsia"/>
        </w:rPr>
        <w:t>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第4章 组织设计 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4.1 组织部门划分方法 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4.2 培养组织文化建设的能力（了解）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/>
        </w:rPr>
        <w:t>重点是组织部门划分</w:t>
      </w:r>
      <w:r>
        <w:rPr>
          <w:rFonts w:ascii="宋体" w:hAnsi="宋体" w:hint="eastAsia"/>
        </w:rPr>
        <w:t>。</w:t>
      </w:r>
      <w:r>
        <w:rPr>
          <w:rFonts w:ascii="宋体" w:hAnsi="宋体"/>
        </w:rPr>
        <w:t>难点</w:t>
      </w:r>
      <w:r>
        <w:rPr>
          <w:rFonts w:ascii="宋体" w:hAnsi="宋体" w:hint="eastAsia"/>
        </w:rPr>
        <w:t>是组织文化建设。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相关方法的实际应用。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通过理论学习、培养学生科学思维及精细化管理的思想。穿插组织设计相关案例宣扬精益求精、勇于创新的匠心精神。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第5章 人员配备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5.1 人力资源计划（了解）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5.2 薪资报酬（掌握）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5.3 绩效评估（掌握）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 w:hint="eastAsia"/>
        </w:rPr>
        <w:t>重点是薪资报酬。难点是绩效评估。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相关方法的实际应用。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第6章 领导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6.1 领导的内涵（了解）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6.2 领导理论（掌握）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6.3 领导艺术（掌握）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 w:hint="eastAsia"/>
        </w:rPr>
        <w:t>重点是领导理论。难点是领导艺术。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相关方法的实际应用。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通过理论学习、培养学生科学思维及精细化管理的思想。穿</w:t>
      </w:r>
      <w:r>
        <w:rPr>
          <w:rFonts w:hint="eastAsia"/>
          <w:szCs w:val="32"/>
          <w:lang w:val="en-US"/>
        </w:rPr>
        <w:lastRenderedPageBreak/>
        <w:t>插领导艺术相关案例宣扬精益求精、勇于创新的匠心精神。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第7章 激励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7.1 激励的原理（了解）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7.2 激励的理论（掌握）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7.3 激励的方法（掌握）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 w:hint="eastAsia"/>
        </w:rPr>
        <w:t>重点是激励的理论。难点是激励的方法。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相关方法的实际应用。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第8章 沟通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8.1 沟通的原理（了解）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8.2 沟通的方法（掌握）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8.3 团队建设（掌握）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 w:hint="eastAsia"/>
        </w:rPr>
        <w:t>重点是沟通的方法。难点是团队建设。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相关方法的实际应用。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通过理论学习、培养学生科学思维及精细化管理的思想。穿插激励及沟通相关案例宣扬精益求精、勇于创新的匠心精神。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第9章 控制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9.1 控制类型（了解）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9.2 控制方法（掌握）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9.3 控制过程（掌握）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教学重点、难点：</w:t>
      </w:r>
      <w:r>
        <w:rPr>
          <w:rFonts w:ascii="宋体" w:hAnsi="宋体" w:hint="eastAsia"/>
        </w:rPr>
        <w:t>重点是控制方法。难点是控制过程。</w:t>
      </w:r>
    </w:p>
    <w:p w:rsidR="00C351EC" w:rsidRDefault="00841AAC">
      <w:pPr>
        <w:pStyle w:val="a5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lang w:val="en-US"/>
        </w:rPr>
        <w:t>课程的考核要求：</w:t>
      </w:r>
      <w:r>
        <w:rPr>
          <w:rFonts w:ascii="宋体" w:hAnsi="宋体" w:hint="eastAsia"/>
        </w:rPr>
        <w:t>相关方法的实际应用。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第10章 管理的创新职能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10.1 创新及其作用（了解）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10.2 创新职能的基本内容（掌握）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10.3 创新过程及其管理（掌握）</w:t>
      </w:r>
    </w:p>
    <w:p w:rsidR="00C351EC" w:rsidRDefault="00841AAC">
      <w:pPr>
        <w:spacing w:line="560" w:lineRule="exact"/>
        <w:ind w:firstLineChars="200" w:firstLine="482"/>
        <w:rPr>
          <w:rFonts w:ascii="宋体" w:hAnsi="宋体"/>
          <w:sz w:val="24"/>
        </w:rPr>
      </w:pPr>
      <w:r>
        <w:rPr>
          <w:rFonts w:hint="eastAsia"/>
          <w:b/>
          <w:bCs/>
          <w:sz w:val="24"/>
        </w:rPr>
        <w:t>教学重点、难点：</w:t>
      </w:r>
      <w:r>
        <w:rPr>
          <w:rFonts w:ascii="宋体" w:hAnsi="宋体" w:hint="eastAsia"/>
          <w:sz w:val="24"/>
        </w:rPr>
        <w:t>重点是创新职能的基本内容。难点是创新过程及其管理。</w:t>
      </w:r>
    </w:p>
    <w:p w:rsidR="00C351EC" w:rsidRDefault="00841AAC">
      <w:pPr>
        <w:spacing w:line="560" w:lineRule="exact"/>
        <w:ind w:firstLineChars="200" w:firstLine="482"/>
        <w:rPr>
          <w:rFonts w:ascii="宋体" w:hAnsi="宋体"/>
          <w:sz w:val="24"/>
        </w:rPr>
      </w:pPr>
      <w:r>
        <w:rPr>
          <w:rFonts w:hint="eastAsia"/>
          <w:b/>
          <w:bCs/>
          <w:sz w:val="24"/>
        </w:rPr>
        <w:t>课程的考核要求：</w:t>
      </w:r>
      <w:r>
        <w:rPr>
          <w:rFonts w:ascii="宋体" w:hAnsi="宋体" w:hint="eastAsia"/>
          <w:sz w:val="24"/>
        </w:rPr>
        <w:t>相关方法的实际应用。</w:t>
      </w:r>
    </w:p>
    <w:p w:rsidR="00C351EC" w:rsidRDefault="00841AAC">
      <w:pPr>
        <w:spacing w:line="560" w:lineRule="exact"/>
        <w:ind w:firstLineChars="200" w:firstLine="482"/>
        <w:rPr>
          <w:rFonts w:ascii="宋体" w:hAnsi="宋体"/>
          <w:sz w:val="24"/>
        </w:rPr>
      </w:pPr>
      <w:r>
        <w:rPr>
          <w:rFonts w:hint="eastAsia"/>
          <w:b/>
          <w:bCs/>
          <w:sz w:val="24"/>
        </w:rPr>
        <w:t>课程思政切入点：</w:t>
      </w:r>
      <w:r>
        <w:rPr>
          <w:rFonts w:hint="eastAsia"/>
          <w:sz w:val="24"/>
        </w:rPr>
        <w:t>通过理论学习、培养学生科学思维及精细化管理的思想。穿插管理创新相关案例宣扬精益求精、勇于创新的匠心精神。</w:t>
      </w:r>
    </w:p>
    <w:p w:rsidR="00C351EC" w:rsidRDefault="00841AAC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本课程所采用的考核方法为考试；</w:t>
      </w:r>
      <w:bookmarkStart w:id="0" w:name="_GoBack"/>
      <w:bookmarkEnd w:id="0"/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本课程平时成绩占40</w:t>
      </w:r>
      <w:r>
        <w:rPr>
          <w:rFonts w:ascii="宋体" w:hAnsi="宋体"/>
        </w:rPr>
        <w:t>%</w:t>
      </w:r>
      <w:r>
        <w:rPr>
          <w:rFonts w:ascii="宋体" w:hAnsi="宋体" w:hint="eastAsia"/>
        </w:rPr>
        <w:t>，期末考试成绩占6</w:t>
      </w:r>
      <w:r>
        <w:rPr>
          <w:rFonts w:ascii="宋体" w:hAnsi="宋体"/>
        </w:rPr>
        <w:t>0%</w:t>
      </w:r>
      <w:r>
        <w:rPr>
          <w:rFonts w:ascii="宋体" w:hAnsi="宋体" w:hint="eastAsia"/>
        </w:rPr>
        <w:t>；</w:t>
      </w:r>
    </w:p>
    <w:p w:rsidR="00C351EC" w:rsidRDefault="00841AAC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参考</w:t>
      </w:r>
      <w:r>
        <w:rPr>
          <w:rFonts w:ascii="宋体" w:hAnsi="宋体"/>
        </w:rPr>
        <w:t>书目如下：</w:t>
      </w:r>
    </w:p>
    <w:p w:rsidR="00C351EC" w:rsidRDefault="00841AAC">
      <w:pPr>
        <w:pStyle w:val="a5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周三多等编著.《管理学-原理与方法》（第7版）.复旦大学出版社.2018.6</w:t>
      </w:r>
    </w:p>
    <w:p w:rsidR="00C351EC" w:rsidRDefault="00841AAC">
      <w:pPr>
        <w:pStyle w:val="a5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杨斌译.《管理学》.机械工业出版社.2018.6</w:t>
      </w:r>
    </w:p>
    <w:p w:rsidR="00A544CE" w:rsidRDefault="00A544CE">
      <w:pPr>
        <w:pStyle w:val="a5"/>
        <w:spacing w:line="560" w:lineRule="exact"/>
        <w:rPr>
          <w:rFonts w:ascii="宋体" w:hAnsi="宋体"/>
        </w:rPr>
      </w:pPr>
    </w:p>
    <w:p w:rsidR="00A544CE" w:rsidRDefault="00A544CE">
      <w:pPr>
        <w:pStyle w:val="a5"/>
        <w:spacing w:line="560" w:lineRule="exact"/>
        <w:rPr>
          <w:rFonts w:ascii="宋体" w:hAnsi="宋体"/>
        </w:rPr>
      </w:pPr>
    </w:p>
    <w:p w:rsidR="00C351EC" w:rsidRDefault="00841AAC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执笔人：赵灿灿     教研室主任：马峻　　　 系教学主任审核签名：</w:t>
      </w:r>
    </w:p>
    <w:sectPr w:rsidR="00C351E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27C" w:rsidRDefault="0043427C">
      <w:r>
        <w:separator/>
      </w:r>
    </w:p>
  </w:endnote>
  <w:endnote w:type="continuationSeparator" w:id="0">
    <w:p w:rsidR="0043427C" w:rsidRDefault="0043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1EC" w:rsidRDefault="00841AAC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8548D0">
      <w:rPr>
        <w:rFonts w:ascii="宋体" w:hAnsi="宋体"/>
        <w:noProof/>
        <w:sz w:val="28"/>
      </w:rPr>
      <w:t>- 6 -</w:t>
    </w:r>
    <w:r>
      <w:rPr>
        <w:rFonts w:ascii="宋体" w:hAnsi="宋体"/>
        <w:sz w:val="28"/>
      </w:rPr>
      <w:fldChar w:fldCharType="end"/>
    </w:r>
  </w:p>
  <w:p w:rsidR="00C351EC" w:rsidRDefault="00C351E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1EC" w:rsidRDefault="00841AAC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8548D0">
      <w:rPr>
        <w:rFonts w:ascii="宋体" w:hAnsi="宋体"/>
        <w:noProof/>
        <w:sz w:val="28"/>
      </w:rPr>
      <w:t>- 5 -</w:t>
    </w:r>
    <w:r>
      <w:rPr>
        <w:rFonts w:ascii="宋体" w:hAnsi="宋体"/>
        <w:sz w:val="28"/>
      </w:rPr>
      <w:fldChar w:fldCharType="end"/>
    </w:r>
  </w:p>
  <w:p w:rsidR="00C351EC" w:rsidRDefault="00C351E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27C" w:rsidRDefault="0043427C">
      <w:r>
        <w:separator/>
      </w:r>
    </w:p>
  </w:footnote>
  <w:footnote w:type="continuationSeparator" w:id="0">
    <w:p w:rsidR="0043427C" w:rsidRDefault="00434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1EC" w:rsidRDefault="00C351EC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1EC" w:rsidRDefault="00C351EC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6BEA"/>
    <w:multiLevelType w:val="multilevel"/>
    <w:tmpl w:val="1F746BEA"/>
    <w:lvl w:ilvl="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C5D63E6"/>
    <w:multiLevelType w:val="multilevel"/>
    <w:tmpl w:val="4C5D63E6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decimal"/>
      <w:lvlText w:val="[%2]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1156E"/>
    <w:rsid w:val="00013621"/>
    <w:rsid w:val="000155D3"/>
    <w:rsid w:val="00020E9D"/>
    <w:rsid w:val="00032372"/>
    <w:rsid w:val="000347EF"/>
    <w:rsid w:val="000443E9"/>
    <w:rsid w:val="00047758"/>
    <w:rsid w:val="00051A84"/>
    <w:rsid w:val="000520A8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306C"/>
    <w:rsid w:val="000C45F6"/>
    <w:rsid w:val="000D4185"/>
    <w:rsid w:val="000D42E9"/>
    <w:rsid w:val="000F0FD8"/>
    <w:rsid w:val="001029EA"/>
    <w:rsid w:val="0010628D"/>
    <w:rsid w:val="001109B8"/>
    <w:rsid w:val="0011600F"/>
    <w:rsid w:val="0012475A"/>
    <w:rsid w:val="00130579"/>
    <w:rsid w:val="00131496"/>
    <w:rsid w:val="0013248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427C"/>
    <w:rsid w:val="00436697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3AFB"/>
    <w:rsid w:val="00490A6C"/>
    <w:rsid w:val="00491785"/>
    <w:rsid w:val="00497A87"/>
    <w:rsid w:val="004A39E3"/>
    <w:rsid w:val="004A710A"/>
    <w:rsid w:val="004C21F0"/>
    <w:rsid w:val="004E1CDA"/>
    <w:rsid w:val="004E379E"/>
    <w:rsid w:val="004F1995"/>
    <w:rsid w:val="004F48C7"/>
    <w:rsid w:val="005030C3"/>
    <w:rsid w:val="00505BF9"/>
    <w:rsid w:val="005064CB"/>
    <w:rsid w:val="0051055A"/>
    <w:rsid w:val="0051262C"/>
    <w:rsid w:val="00527579"/>
    <w:rsid w:val="005318F1"/>
    <w:rsid w:val="00535DAA"/>
    <w:rsid w:val="005379F4"/>
    <w:rsid w:val="00540656"/>
    <w:rsid w:val="00541059"/>
    <w:rsid w:val="00562478"/>
    <w:rsid w:val="00563B8D"/>
    <w:rsid w:val="0056549D"/>
    <w:rsid w:val="00567060"/>
    <w:rsid w:val="00572884"/>
    <w:rsid w:val="00573207"/>
    <w:rsid w:val="00581E16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2D7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4B1A"/>
    <w:rsid w:val="006B71C1"/>
    <w:rsid w:val="006B7C6C"/>
    <w:rsid w:val="006C16B5"/>
    <w:rsid w:val="006C18E7"/>
    <w:rsid w:val="006C1ACD"/>
    <w:rsid w:val="006C345B"/>
    <w:rsid w:val="006C726B"/>
    <w:rsid w:val="006D7188"/>
    <w:rsid w:val="006E2B14"/>
    <w:rsid w:val="006E378A"/>
    <w:rsid w:val="006E5F98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777F"/>
    <w:rsid w:val="008109A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1AAC"/>
    <w:rsid w:val="008479B3"/>
    <w:rsid w:val="00852554"/>
    <w:rsid w:val="008545D5"/>
    <w:rsid w:val="008548D0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5D4B"/>
    <w:rsid w:val="00A12A46"/>
    <w:rsid w:val="00A222E0"/>
    <w:rsid w:val="00A23C35"/>
    <w:rsid w:val="00A25CC4"/>
    <w:rsid w:val="00A319EA"/>
    <w:rsid w:val="00A32BED"/>
    <w:rsid w:val="00A34F0E"/>
    <w:rsid w:val="00A47372"/>
    <w:rsid w:val="00A544CE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83DDD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94C2B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7750"/>
    <w:rsid w:val="00C31E5C"/>
    <w:rsid w:val="00C31F4C"/>
    <w:rsid w:val="00C33961"/>
    <w:rsid w:val="00C351EC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5404"/>
    <w:rsid w:val="00DE76C3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66D4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  <w:rsid w:val="3195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D5C2DF-45AE-4880-8180-0B7FCCA7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rPr>
      <w:b/>
      <w:bCs/>
    </w:rPr>
  </w:style>
  <w:style w:type="table" w:styleId="af2">
    <w:name w:val="Table Grid"/>
    <w:basedOn w:val="a1"/>
    <w:uiPriority w:val="99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rPr>
      <w:rFonts w:cs="Times New Roman"/>
    </w:rPr>
  </w:style>
  <w:style w:type="character" w:styleId="af5">
    <w:name w:val="Hyperlink"/>
    <w:uiPriority w:val="99"/>
    <w:semiHidden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Pr>
      <w:color w:val="000000"/>
    </w:rPr>
  </w:style>
  <w:style w:type="character" w:customStyle="1" w:styleId="22">
    <w:name w:val="正文文本缩进 2 字符"/>
    <w:link w:val="21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351</Words>
  <Characters>2004</Characters>
  <Application>Microsoft Office Word</Application>
  <DocSecurity>0</DocSecurity>
  <Lines>16</Lines>
  <Paragraphs>4</Paragraphs>
  <ScaleCrop>false</ScaleCrop>
  <Company>P R C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cp:lastPrinted>2021-02-26T06:54:00Z</cp:lastPrinted>
  <dcterms:created xsi:type="dcterms:W3CDTF">2021-05-15T00:59:00Z</dcterms:created>
  <dcterms:modified xsi:type="dcterms:W3CDTF">2021-05-17T08:07:00Z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