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uto"/>
        <w:jc w:val="center"/>
        <w:outlineLvl w:val="1"/>
        <w:rPr>
          <w:rFonts w:ascii="黑体" w:hAnsi="Cambria" w:eastAsia="黑体"/>
          <w:bCs/>
          <w:kern w:val="0"/>
          <w:sz w:val="30"/>
          <w:szCs w:val="30"/>
        </w:rPr>
      </w:pPr>
      <w:bookmarkStart w:id="0" w:name="_Toc270520517"/>
      <w:r>
        <w:rPr>
          <w:rFonts w:ascii="黑体" w:hAnsi="Cambria" w:eastAsia="黑体"/>
          <w:bCs/>
          <w:kern w:val="0"/>
          <w:sz w:val="30"/>
          <w:szCs w:val="30"/>
        </w:rPr>
        <w:t>《高级</w:t>
      </w:r>
      <w:r>
        <w:rPr>
          <w:rFonts w:hint="eastAsia" w:ascii="黑体" w:hAnsi="Cambria" w:eastAsia="黑体"/>
          <w:bCs/>
          <w:kern w:val="0"/>
          <w:sz w:val="30"/>
          <w:szCs w:val="30"/>
        </w:rPr>
        <w:t>财务</w:t>
      </w:r>
      <w:r>
        <w:rPr>
          <w:rFonts w:ascii="黑体" w:hAnsi="Cambria" w:eastAsia="黑体"/>
          <w:bCs/>
          <w:kern w:val="0"/>
          <w:sz w:val="30"/>
          <w:szCs w:val="30"/>
        </w:rPr>
        <w:t>会计》课程中英文简介</w:t>
      </w:r>
      <w:bookmarkEnd w:id="0"/>
    </w:p>
    <w:p>
      <w:pPr>
        <w:spacing w:line="360" w:lineRule="auto"/>
        <w:jc w:val="center"/>
        <w:rPr>
          <w:sz w:val="28"/>
          <w:szCs w:val="28"/>
        </w:rPr>
      </w:pPr>
      <w:r>
        <w:rPr>
          <w:sz w:val="28"/>
          <w:szCs w:val="28"/>
        </w:rPr>
        <w:t xml:space="preserve">Advanced </w:t>
      </w:r>
      <w:r>
        <w:rPr>
          <w:rFonts w:hint="eastAsia"/>
          <w:sz w:val="28"/>
          <w:szCs w:val="28"/>
        </w:rPr>
        <w:t xml:space="preserve"> </w:t>
      </w:r>
      <w:r>
        <w:rPr>
          <w:sz w:val="28"/>
          <w:szCs w:val="28"/>
        </w:rPr>
        <w:t>Financial</w:t>
      </w:r>
      <w:r>
        <w:rPr>
          <w:rFonts w:hint="eastAsia"/>
          <w:sz w:val="28"/>
          <w:szCs w:val="28"/>
        </w:rPr>
        <w:t xml:space="preserve">  </w:t>
      </w:r>
      <w:r>
        <w:rPr>
          <w:sz w:val="28"/>
          <w:szCs w:val="28"/>
        </w:rPr>
        <w:t>Accounting</w:t>
      </w:r>
    </w:p>
    <w:p>
      <w:pPr>
        <w:spacing w:line="360" w:lineRule="auto"/>
        <w:jc w:val="center"/>
        <w:rPr>
          <w:szCs w:val="21"/>
        </w:rPr>
      </w:pPr>
    </w:p>
    <w:p>
      <w:pPr>
        <w:widowControl/>
        <w:tabs>
          <w:tab w:val="left" w:pos="4111"/>
          <w:tab w:val="left" w:pos="8280"/>
        </w:tabs>
        <w:spacing w:line="360" w:lineRule="auto"/>
        <w:jc w:val="left"/>
        <w:rPr>
          <w:kern w:val="0"/>
          <w:szCs w:val="21"/>
        </w:rPr>
      </w:pPr>
      <w:r>
        <w:rPr>
          <w:rFonts w:hAnsi="宋体" w:eastAsia="黑体"/>
          <w:kern w:val="0"/>
          <w:szCs w:val="21"/>
        </w:rPr>
        <w:t>课程代码：041204A</w:t>
      </w:r>
      <w:r>
        <w:rPr>
          <w:rFonts w:hint="eastAsia"/>
          <w:kern w:val="0"/>
          <w:szCs w:val="21"/>
        </w:rPr>
        <w:tab/>
      </w:r>
      <w:r>
        <w:rPr>
          <w:rFonts w:eastAsia="黑体"/>
          <w:b/>
          <w:bCs/>
          <w:kern w:val="0"/>
          <w:szCs w:val="21"/>
        </w:rPr>
        <w:t>Course Code：041204A</w:t>
      </w:r>
    </w:p>
    <w:p>
      <w:pPr>
        <w:widowControl/>
        <w:tabs>
          <w:tab w:val="left" w:pos="4111"/>
          <w:tab w:val="left" w:pos="8522"/>
        </w:tabs>
        <w:spacing w:line="360" w:lineRule="auto"/>
        <w:jc w:val="left"/>
        <w:rPr>
          <w:kern w:val="0"/>
          <w:szCs w:val="21"/>
        </w:rPr>
      </w:pPr>
      <w:r>
        <w:rPr>
          <w:rFonts w:hAnsi="宋体" w:eastAsia="黑体"/>
          <w:kern w:val="0"/>
          <w:szCs w:val="21"/>
        </w:rPr>
        <w:t>课程名称：高级</w:t>
      </w:r>
      <w:r>
        <w:rPr>
          <w:rFonts w:hint="eastAsia" w:hAnsi="宋体" w:eastAsia="黑体"/>
          <w:kern w:val="0"/>
          <w:szCs w:val="21"/>
        </w:rPr>
        <w:t>财务</w:t>
      </w:r>
      <w:r>
        <w:rPr>
          <w:rFonts w:hAnsi="宋体" w:eastAsia="黑体"/>
          <w:kern w:val="0"/>
          <w:szCs w:val="21"/>
        </w:rPr>
        <w:t>会计</w:t>
      </w:r>
      <w:r>
        <w:rPr>
          <w:kern w:val="0"/>
          <w:szCs w:val="21"/>
        </w:rPr>
        <w:tab/>
      </w:r>
      <w:r>
        <w:rPr>
          <w:rFonts w:eastAsia="黑体"/>
          <w:b/>
          <w:bCs/>
          <w:kern w:val="0"/>
          <w:szCs w:val="21"/>
        </w:rPr>
        <w:t>Course Name：</w:t>
      </w:r>
      <w:r>
        <w:rPr>
          <w:kern w:val="0"/>
          <w:szCs w:val="21"/>
        </w:rPr>
        <w:t>Advanced Financial</w:t>
      </w:r>
      <w:r>
        <w:rPr>
          <w:rFonts w:hint="eastAsia"/>
          <w:kern w:val="0"/>
          <w:szCs w:val="21"/>
        </w:rPr>
        <w:t xml:space="preserve"> </w:t>
      </w:r>
      <w:r>
        <w:rPr>
          <w:kern w:val="0"/>
          <w:szCs w:val="21"/>
        </w:rPr>
        <w:t>Accounting</w:t>
      </w:r>
    </w:p>
    <w:p>
      <w:pPr>
        <w:widowControl/>
        <w:tabs>
          <w:tab w:val="left" w:pos="4111"/>
          <w:tab w:val="left" w:pos="8522"/>
        </w:tabs>
        <w:spacing w:line="360" w:lineRule="auto"/>
        <w:jc w:val="left"/>
        <w:rPr>
          <w:kern w:val="0"/>
          <w:szCs w:val="21"/>
        </w:rPr>
      </w:pPr>
      <w:r>
        <w:rPr>
          <w:rFonts w:hAnsi="宋体" w:eastAsia="黑体"/>
          <w:kern w:val="0"/>
          <w:szCs w:val="21"/>
        </w:rPr>
        <w:t>学    时：</w:t>
      </w:r>
      <w:r>
        <w:rPr>
          <w:rFonts w:hint="eastAsia"/>
          <w:kern w:val="0"/>
          <w:szCs w:val="21"/>
        </w:rPr>
        <w:t>64</w:t>
      </w:r>
      <w:r>
        <w:rPr>
          <w:kern w:val="0"/>
          <w:szCs w:val="21"/>
        </w:rPr>
        <w:tab/>
      </w:r>
      <w:r>
        <w:rPr>
          <w:rFonts w:eastAsia="黑体"/>
          <w:b/>
          <w:bCs/>
          <w:kern w:val="0"/>
          <w:szCs w:val="21"/>
        </w:rPr>
        <w:t>Periods：</w:t>
      </w:r>
      <w:r>
        <w:rPr>
          <w:rFonts w:hint="eastAsia"/>
          <w:kern w:val="0"/>
          <w:szCs w:val="21"/>
        </w:rPr>
        <w:t>64</w:t>
      </w:r>
    </w:p>
    <w:p>
      <w:pPr>
        <w:widowControl/>
        <w:tabs>
          <w:tab w:val="left" w:pos="4111"/>
          <w:tab w:val="left" w:pos="8522"/>
        </w:tabs>
        <w:spacing w:line="360" w:lineRule="auto"/>
        <w:jc w:val="left"/>
        <w:rPr>
          <w:kern w:val="0"/>
          <w:szCs w:val="21"/>
        </w:rPr>
      </w:pPr>
      <w:r>
        <w:rPr>
          <w:rFonts w:hAnsi="宋体" w:eastAsia="黑体"/>
          <w:kern w:val="0"/>
          <w:szCs w:val="21"/>
        </w:rPr>
        <w:t>学    分：</w:t>
      </w:r>
      <w:r>
        <w:rPr>
          <w:rFonts w:hint="eastAsia" w:hAnsi="宋体" w:eastAsia="黑体"/>
          <w:kern w:val="0"/>
          <w:szCs w:val="21"/>
        </w:rPr>
        <w:t>4</w:t>
      </w:r>
      <w:r>
        <w:rPr>
          <w:kern w:val="0"/>
          <w:szCs w:val="21"/>
        </w:rPr>
        <w:tab/>
      </w:r>
      <w:r>
        <w:rPr>
          <w:rFonts w:eastAsia="黑体"/>
          <w:b/>
          <w:bCs/>
          <w:kern w:val="0"/>
          <w:szCs w:val="21"/>
        </w:rPr>
        <w:t>Credits：</w:t>
      </w:r>
      <w:r>
        <w:rPr>
          <w:rFonts w:hint="eastAsia" w:eastAsia="黑体"/>
          <w:b/>
          <w:bCs/>
          <w:kern w:val="0"/>
          <w:szCs w:val="21"/>
        </w:rPr>
        <w:t>4</w:t>
      </w:r>
    </w:p>
    <w:p>
      <w:pPr>
        <w:widowControl/>
        <w:tabs>
          <w:tab w:val="left" w:pos="4111"/>
          <w:tab w:val="left" w:pos="8522"/>
        </w:tabs>
        <w:spacing w:line="360" w:lineRule="auto"/>
        <w:jc w:val="left"/>
        <w:rPr>
          <w:kern w:val="0"/>
          <w:szCs w:val="21"/>
        </w:rPr>
      </w:pPr>
      <w:r>
        <w:rPr>
          <w:rFonts w:hAnsi="宋体" w:eastAsia="黑体"/>
          <w:kern w:val="0"/>
          <w:szCs w:val="21"/>
        </w:rPr>
        <w:t>考核方式：考试</w:t>
      </w:r>
      <w:r>
        <w:rPr>
          <w:rFonts w:hint="eastAsia"/>
          <w:kern w:val="0"/>
          <w:szCs w:val="21"/>
        </w:rPr>
        <w:tab/>
      </w:r>
      <w:r>
        <w:rPr>
          <w:rFonts w:eastAsia="黑体"/>
          <w:b/>
          <w:bCs/>
          <w:kern w:val="0"/>
          <w:szCs w:val="21"/>
        </w:rPr>
        <w:t>Assessment：</w:t>
      </w:r>
      <w:r>
        <w:rPr>
          <w:bCs/>
          <w:kern w:val="0"/>
          <w:szCs w:val="21"/>
        </w:rPr>
        <w:t>Examination/Test</w:t>
      </w:r>
    </w:p>
    <w:p>
      <w:pPr>
        <w:widowControl/>
        <w:tabs>
          <w:tab w:val="left" w:pos="4111"/>
          <w:tab w:val="left" w:pos="8522"/>
        </w:tabs>
        <w:spacing w:line="360" w:lineRule="auto"/>
        <w:jc w:val="left"/>
        <w:rPr>
          <w:kern w:val="0"/>
          <w:szCs w:val="21"/>
        </w:rPr>
      </w:pPr>
      <w:r>
        <w:rPr>
          <w:rFonts w:hAnsi="宋体" w:eastAsia="黑体"/>
          <w:kern w:val="0"/>
          <w:szCs w:val="21"/>
        </w:rPr>
        <w:t>先修课程：</w:t>
      </w:r>
      <w:r>
        <w:rPr>
          <w:rFonts w:hint="eastAsia" w:hAnsi="宋体" w:eastAsia="黑体"/>
          <w:kern w:val="0"/>
          <w:szCs w:val="21"/>
        </w:rPr>
        <w:t>会计学基础</w:t>
      </w:r>
      <w:r>
        <w:rPr>
          <w:rFonts w:hint="eastAsia" w:hAnsi="宋体" w:eastAsia="黑体"/>
          <w:kern w:val="0"/>
          <w:szCs w:val="21"/>
          <w:lang w:val="en-US" w:eastAsia="zh-CN"/>
        </w:rPr>
        <w:t xml:space="preserve">                   </w:t>
      </w:r>
      <w:r>
        <w:rPr>
          <w:rFonts w:eastAsia="黑体"/>
          <w:b/>
          <w:bCs/>
          <w:kern w:val="0"/>
          <w:szCs w:val="21"/>
        </w:rPr>
        <w:t>Preparatory Courses：</w:t>
      </w:r>
      <w:r>
        <w:rPr>
          <w:rFonts w:hint="eastAsia" w:eastAsia="黑体"/>
          <w:kern w:val="0"/>
          <w:szCs w:val="21"/>
          <w:lang w:val="en-US" w:eastAsia="zh-CN"/>
        </w:rPr>
        <w:t xml:space="preserve">Fundamental </w:t>
      </w:r>
      <w:r>
        <w:rPr>
          <w:rFonts w:hint="eastAsia" w:eastAsia="黑体"/>
          <w:b/>
          <w:bCs/>
          <w:kern w:val="0"/>
          <w:szCs w:val="21"/>
        </w:rPr>
        <w:t xml:space="preserve"> </w:t>
      </w:r>
      <w:r>
        <w:rPr>
          <w:kern w:val="0"/>
          <w:szCs w:val="21"/>
        </w:rPr>
        <w:t>Accounting</w:t>
      </w:r>
    </w:p>
    <w:p>
      <w:pPr>
        <w:widowControl/>
        <w:tabs>
          <w:tab w:val="left" w:pos="0"/>
          <w:tab w:val="left" w:pos="6237"/>
        </w:tabs>
        <w:spacing w:line="360" w:lineRule="auto"/>
        <w:ind w:firstLine="991" w:firstLineChars="472"/>
        <w:rPr>
          <w:rFonts w:ascii="仿宋_GB2312" w:eastAsia="仿宋_GB2312"/>
          <w:kern w:val="0"/>
          <w:sz w:val="32"/>
          <w:szCs w:val="32"/>
        </w:rPr>
      </w:pPr>
      <w:r>
        <w:rPr>
          <w:rFonts w:hint="eastAsia" w:hAnsi="宋体" w:eastAsia="黑体"/>
          <w:kern w:val="0"/>
          <w:szCs w:val="21"/>
        </w:rPr>
        <w:t>中级</w:t>
      </w:r>
      <w:r>
        <w:rPr>
          <w:rFonts w:hAnsi="宋体" w:eastAsia="黑体"/>
          <w:kern w:val="0"/>
          <w:szCs w:val="21"/>
        </w:rPr>
        <w:t>财务会计</w:t>
      </w:r>
      <w:r>
        <w:rPr>
          <w:rFonts w:hint="eastAsia" w:hAnsi="宋体"/>
          <w:kern w:val="0"/>
          <w:szCs w:val="21"/>
        </w:rPr>
        <w:t xml:space="preserve">                             </w:t>
      </w:r>
      <w:r>
        <w:rPr>
          <w:kern w:val="0"/>
          <w:szCs w:val="21"/>
        </w:rPr>
        <w:t>Intermediate</w:t>
      </w:r>
      <w:r>
        <w:rPr>
          <w:rFonts w:hint="eastAsia"/>
          <w:kern w:val="0"/>
          <w:szCs w:val="21"/>
        </w:rPr>
        <w:t xml:space="preserve"> </w:t>
      </w:r>
      <w:r>
        <w:rPr>
          <w:kern w:val="0"/>
          <w:szCs w:val="21"/>
        </w:rPr>
        <w:t>Financial Accounting</w:t>
      </w:r>
      <w:bookmarkStart w:id="1" w:name="_GoBack"/>
      <w:bookmarkEnd w:id="1"/>
    </w:p>
    <w:p>
      <w:pPr>
        <w:widowControl/>
        <w:spacing w:line="560" w:lineRule="exact"/>
        <w:ind w:firstLine="420" w:firstLineChars="200"/>
        <w:jc w:val="left"/>
        <w:rPr>
          <w:rFonts w:ascii="宋体" w:hAnsi="宋体"/>
          <w:kern w:val="0"/>
          <w:szCs w:val="21"/>
        </w:rPr>
      </w:pPr>
    </w:p>
    <w:p>
      <w:pPr>
        <w:widowControl/>
        <w:spacing w:line="560" w:lineRule="exact"/>
        <w:ind w:firstLine="420" w:firstLineChars="200"/>
        <w:jc w:val="left"/>
        <w:rPr>
          <w:rFonts w:ascii="宋体" w:hAnsi="宋体"/>
          <w:kern w:val="0"/>
          <w:szCs w:val="21"/>
        </w:rPr>
      </w:pPr>
      <w:r>
        <w:rPr>
          <w:rFonts w:hint="eastAsia" w:ascii="宋体" w:hAnsi="宋体"/>
          <w:kern w:val="0"/>
          <w:szCs w:val="21"/>
        </w:rPr>
        <w:t>《高级财务会计》是为了拓展专业领域、丰富专业知识而开设的课程。通过本门课程的教学，使学生更深入了解、理解会计专业领域的范围，提高专业技能，探索前沿性的会计理论问题和实务问题。教学过程中，将采用理论与实践结合方式，为学生进一步学习会计与经济、管理、金融、法律等方面的联系奠定基础。</w:t>
      </w:r>
    </w:p>
    <w:p>
      <w:pPr>
        <w:widowControl/>
        <w:spacing w:line="560" w:lineRule="exact"/>
        <w:ind w:firstLine="420" w:firstLineChars="200"/>
        <w:jc w:val="left"/>
        <w:rPr>
          <w:rFonts w:hAnsi="宋体"/>
          <w:kern w:val="0"/>
          <w:szCs w:val="21"/>
        </w:rPr>
      </w:pPr>
      <w:r>
        <w:rPr>
          <w:rFonts w:hint="eastAsia" w:ascii="宋体" w:hAnsi="宋体"/>
          <w:kern w:val="0"/>
          <w:szCs w:val="21"/>
        </w:rPr>
        <w:t>本门课程是一门重要的专业课，</w:t>
      </w:r>
      <w:r>
        <w:rPr>
          <w:rFonts w:hint="eastAsia" w:hAnsi="宋体"/>
          <w:kern w:val="0"/>
          <w:szCs w:val="21"/>
        </w:rPr>
        <w:t>阐述了</w:t>
      </w:r>
      <w:r>
        <w:rPr>
          <w:rFonts w:hAnsi="宋体"/>
          <w:kern w:val="0"/>
          <w:szCs w:val="21"/>
        </w:rPr>
        <w:t>特殊业务的基本理论和</w:t>
      </w:r>
      <w:r>
        <w:rPr>
          <w:rFonts w:hint="eastAsia" w:hAnsi="宋体"/>
          <w:kern w:val="0"/>
          <w:szCs w:val="21"/>
        </w:rPr>
        <w:t>方法</w:t>
      </w:r>
      <w:r>
        <w:rPr>
          <w:rFonts w:hAnsi="宋体"/>
          <w:kern w:val="0"/>
          <w:szCs w:val="21"/>
        </w:rPr>
        <w:t>，主要包括</w:t>
      </w:r>
      <w:r>
        <w:rPr>
          <w:rFonts w:hint="eastAsia" w:hAnsi="宋体"/>
          <w:kern w:val="0"/>
          <w:szCs w:val="21"/>
        </w:rPr>
        <w:t>：</w:t>
      </w:r>
      <w:r>
        <w:rPr>
          <w:rFonts w:hAnsi="宋体"/>
          <w:kern w:val="0"/>
          <w:szCs w:val="21"/>
        </w:rPr>
        <w:t>外币交易会计处理和外币财务报表折算方法</w:t>
      </w:r>
      <w:r>
        <w:rPr>
          <w:rFonts w:hint="eastAsia" w:hAnsi="宋体"/>
          <w:kern w:val="0"/>
          <w:szCs w:val="21"/>
        </w:rPr>
        <w:t>，所得税</w:t>
      </w:r>
      <w:r>
        <w:rPr>
          <w:rFonts w:hAnsi="宋体"/>
          <w:kern w:val="0"/>
          <w:szCs w:val="21"/>
        </w:rPr>
        <w:t>费用的确认、计量及其在报表中的列报</w:t>
      </w:r>
      <w:r>
        <w:rPr>
          <w:rFonts w:hint="eastAsia" w:hAnsi="宋体"/>
          <w:kern w:val="0"/>
          <w:szCs w:val="21"/>
        </w:rPr>
        <w:t>，</w:t>
      </w:r>
      <w:r>
        <w:rPr>
          <w:rFonts w:hAnsi="宋体"/>
          <w:kern w:val="0"/>
          <w:szCs w:val="21"/>
        </w:rPr>
        <w:t>非货币性资产交换</w:t>
      </w:r>
      <w:r>
        <w:rPr>
          <w:rFonts w:hint="eastAsia" w:hAnsi="宋体"/>
          <w:kern w:val="0"/>
          <w:szCs w:val="21"/>
        </w:rPr>
        <w:t>与</w:t>
      </w:r>
      <w:r>
        <w:rPr>
          <w:rFonts w:hAnsi="宋体"/>
          <w:kern w:val="0"/>
          <w:szCs w:val="21"/>
        </w:rPr>
        <w:t>会计处理</w:t>
      </w:r>
      <w:r>
        <w:rPr>
          <w:rFonts w:hint="eastAsia" w:hAnsi="宋体"/>
          <w:kern w:val="0"/>
          <w:szCs w:val="21"/>
        </w:rPr>
        <w:t>，套期保值会计处理，</w:t>
      </w:r>
      <w:r>
        <w:rPr>
          <w:rFonts w:hAnsi="宋体"/>
          <w:kern w:val="0"/>
          <w:szCs w:val="21"/>
        </w:rPr>
        <w:t>租赁的分类、</w:t>
      </w:r>
      <w:r>
        <w:rPr>
          <w:rFonts w:hint="eastAsia" w:hAnsi="宋体"/>
          <w:kern w:val="0"/>
          <w:szCs w:val="21"/>
        </w:rPr>
        <w:t>融资租赁与经营租赁等常用租赁业务的</w:t>
      </w:r>
      <w:r>
        <w:rPr>
          <w:rFonts w:hAnsi="宋体"/>
          <w:kern w:val="0"/>
          <w:szCs w:val="21"/>
        </w:rPr>
        <w:t>会计处理</w:t>
      </w:r>
      <w:r>
        <w:rPr>
          <w:rFonts w:hint="eastAsia" w:hAnsi="宋体"/>
          <w:kern w:val="0"/>
          <w:szCs w:val="21"/>
        </w:rPr>
        <w:t>，</w:t>
      </w:r>
      <w:r>
        <w:rPr>
          <w:rFonts w:hAnsi="宋体"/>
          <w:kern w:val="0"/>
          <w:szCs w:val="21"/>
        </w:rPr>
        <w:t>不同债务重组方式下债务人和债权人的会计处理</w:t>
      </w:r>
      <w:r>
        <w:rPr>
          <w:rFonts w:hint="eastAsia" w:hAnsi="宋体"/>
          <w:kern w:val="0"/>
          <w:szCs w:val="21"/>
        </w:rPr>
        <w:t>，企业</w:t>
      </w:r>
      <w:r>
        <w:rPr>
          <w:rFonts w:hAnsi="宋体"/>
          <w:kern w:val="0"/>
          <w:szCs w:val="21"/>
        </w:rPr>
        <w:t>破产</w:t>
      </w:r>
      <w:r>
        <w:rPr>
          <w:rFonts w:hint="eastAsia" w:hAnsi="宋体"/>
          <w:kern w:val="0"/>
          <w:szCs w:val="21"/>
        </w:rPr>
        <w:t>清算会计处理，企业合并会计处理，合并财务报表的编制，企业会计信息披露等内容。</w:t>
      </w:r>
    </w:p>
    <w:p>
      <w:pPr>
        <w:shd w:val="clear" w:color="auto" w:fill="FBFCFE"/>
        <w:spacing w:line="360" w:lineRule="atLeast"/>
        <w:ind w:firstLine="210" w:firstLineChars="100"/>
        <w:textAlignment w:val="baseline"/>
        <w:rPr>
          <w:color w:val="333333"/>
          <w:kern w:val="0"/>
          <w:szCs w:val="21"/>
        </w:rPr>
      </w:pPr>
      <w:r>
        <w:rPr>
          <w:color w:val="333333"/>
          <w:kern w:val="0"/>
          <w:szCs w:val="21"/>
        </w:rPr>
        <w:t xml:space="preserve">The purpose of "Advanced financial accounting" course lies in enabling students to understand and master the basic theory and methods of main special business in financial accounting, including the merger of enterprises, the consolidated financial statements, the listing corporation information disclosure, foreign currency business, income tax, </w:t>
      </w:r>
      <w:r>
        <w:rPr>
          <w:bCs/>
          <w:color w:val="333333"/>
          <w:kern w:val="0"/>
          <w:szCs w:val="21"/>
        </w:rPr>
        <w:t>non-monetary transactions</w:t>
      </w:r>
      <w:r>
        <w:rPr>
          <w:color w:val="333333"/>
          <w:kern w:val="0"/>
          <w:szCs w:val="21"/>
        </w:rPr>
        <w:t>, hedging, leases, debt restructuring and bankruptcy liquidation etc..</w:t>
      </w:r>
      <w:r>
        <w:rPr>
          <w:color w:val="333333"/>
          <w:szCs w:val="21"/>
        </w:rPr>
        <w:t xml:space="preserve"> Among them ,</w:t>
      </w:r>
      <w:r>
        <w:rPr>
          <w:color w:val="333333"/>
          <w:kern w:val="0"/>
          <w:szCs w:val="21"/>
        </w:rPr>
        <w:t>enterprises merger include the types of enterprises merger、</w:t>
      </w:r>
      <w:r>
        <w:rPr>
          <w:color w:val="343434"/>
          <w:kern w:val="0"/>
          <w:szCs w:val="21"/>
        </w:rPr>
        <w:t xml:space="preserve">accounting treatment of enterprise merger、goodwill impairment; </w:t>
      </w:r>
      <w:r>
        <w:rPr>
          <w:color w:val="333333"/>
          <w:kern w:val="0"/>
          <w:szCs w:val="21"/>
        </w:rPr>
        <w:t>the consolidated financial statements not only include consolidated accounting treatment of the</w:t>
      </w:r>
      <w:r>
        <w:rPr>
          <w:color w:val="343434"/>
          <w:szCs w:val="21"/>
        </w:rPr>
        <w:t xml:space="preserve"> </w:t>
      </w:r>
      <w:r>
        <w:rPr>
          <w:color w:val="343434"/>
          <w:kern w:val="0"/>
          <w:szCs w:val="21"/>
        </w:rPr>
        <w:t>combination date (</w:t>
      </w:r>
      <w:r>
        <w:rPr>
          <w:color w:val="333333"/>
          <w:kern w:val="0"/>
          <w:szCs w:val="21"/>
        </w:rPr>
        <w:t>the purchase date</w:t>
      </w:r>
      <w:r>
        <w:rPr>
          <w:color w:val="343434"/>
          <w:kern w:val="0"/>
          <w:szCs w:val="21"/>
        </w:rPr>
        <w:t>)</w:t>
      </w:r>
      <w:r>
        <w:rPr>
          <w:color w:val="333333"/>
          <w:kern w:val="0"/>
          <w:szCs w:val="21"/>
        </w:rPr>
        <w:t xml:space="preserve"> and the date after the combination date (the purchase date), but also include </w:t>
      </w:r>
      <w:r>
        <w:rPr>
          <w:color w:val="343434"/>
          <w:kern w:val="0"/>
          <w:szCs w:val="21"/>
        </w:rPr>
        <w:t>the</w:t>
      </w:r>
      <w:r>
        <w:rPr>
          <w:color w:val="343434"/>
          <w:szCs w:val="21"/>
        </w:rPr>
        <w:t xml:space="preserve"> preparation of</w:t>
      </w:r>
      <w:r>
        <w:rPr>
          <w:color w:val="343434"/>
          <w:kern w:val="0"/>
          <w:szCs w:val="21"/>
        </w:rPr>
        <w:t xml:space="preserve"> the consolidated financial statements; the information disclosure of listing Corporation</w:t>
      </w:r>
      <w:r>
        <w:rPr>
          <w:color w:val="333333"/>
          <w:kern w:val="0"/>
          <w:szCs w:val="21"/>
        </w:rPr>
        <w:t xml:space="preserve"> mainly includes the framework of </w:t>
      </w:r>
      <w:r>
        <w:rPr>
          <w:color w:val="343434"/>
          <w:kern w:val="0"/>
          <w:szCs w:val="21"/>
        </w:rPr>
        <w:t xml:space="preserve">disclosure, </w:t>
      </w:r>
      <w:r>
        <w:rPr>
          <w:color w:val="333333"/>
          <w:kern w:val="0"/>
          <w:szCs w:val="21"/>
        </w:rPr>
        <w:t>segment report, interim financial report, related party disclosures, events after the balance sheet date and accounting policies, changes in accounting estimates and the error correction; foreign currency business includes accounting treatment of foreign currency transactions and the translation methods of foreign currency financial statements; income tax mainly includes the recognition of deferred income tax assets and deferred income tax liabilities, the confirmation, measurement and column news in the report of income tax expense;non-monetary transactions mainly includes the accounting treatment and the exchange of non monetary assets; hedging includes hedging instruments, the hedged items, the hedging relationship and accounting treatment of hedging; accounting rental includes lease classification, accounting treatment of financing leasing、 operating leasing and other commonly used leasing business; debt restructuring and bankruptcy liquidation includes the accounting treatment of debt restructuring under different modes of debtor and creditor, the reasons of bankruptcy、enterprises category、basic procedure and accounting treatment.</w:t>
      </w:r>
    </w:p>
    <w:p>
      <w:pPr>
        <w:spacing w:line="560" w:lineRule="exact"/>
        <w:ind w:firstLine="800" w:firstLineChars="250"/>
        <w:rPr>
          <w:rFonts w:ascii="仿宋_GB2312" w:eastAsia="仿宋_GB2312"/>
          <w:sz w:val="32"/>
          <w:szCs w:val="32"/>
        </w:rPr>
      </w:pPr>
    </w:p>
    <w:p>
      <w:pPr>
        <w:spacing w:line="560" w:lineRule="exact"/>
        <w:rPr>
          <w:rFonts w:ascii="仿宋_GB2312" w:eastAsia="仿宋_GB2312"/>
          <w:b/>
          <w:sz w:val="32"/>
          <w:szCs w:val="32"/>
        </w:rPr>
      </w:pPr>
      <w:r>
        <w:rPr>
          <w:rFonts w:ascii="仿宋_GB2312" w:eastAsia="仿宋_GB2312"/>
          <w:b/>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383"/>
    <w:rsid w:val="00020D8E"/>
    <w:rsid w:val="00064419"/>
    <w:rsid w:val="000C231A"/>
    <w:rsid w:val="0011268E"/>
    <w:rsid w:val="001425A5"/>
    <w:rsid w:val="001925A6"/>
    <w:rsid w:val="001C4041"/>
    <w:rsid w:val="001F67DF"/>
    <w:rsid w:val="003142EB"/>
    <w:rsid w:val="00360C17"/>
    <w:rsid w:val="003860C6"/>
    <w:rsid w:val="004A1C5D"/>
    <w:rsid w:val="004C0FE3"/>
    <w:rsid w:val="00597408"/>
    <w:rsid w:val="005C6849"/>
    <w:rsid w:val="006455D7"/>
    <w:rsid w:val="00664383"/>
    <w:rsid w:val="006F4D8E"/>
    <w:rsid w:val="0072702D"/>
    <w:rsid w:val="007D2F4B"/>
    <w:rsid w:val="00806166"/>
    <w:rsid w:val="00810A3B"/>
    <w:rsid w:val="008E3D3F"/>
    <w:rsid w:val="009D50BA"/>
    <w:rsid w:val="009D5A16"/>
    <w:rsid w:val="009F4512"/>
    <w:rsid w:val="00A05D64"/>
    <w:rsid w:val="00A61423"/>
    <w:rsid w:val="00B83ED9"/>
    <w:rsid w:val="00BF2796"/>
    <w:rsid w:val="00C25EEB"/>
    <w:rsid w:val="00C8501C"/>
    <w:rsid w:val="00C85E14"/>
    <w:rsid w:val="00CE1985"/>
    <w:rsid w:val="00D0632C"/>
    <w:rsid w:val="00D21871"/>
    <w:rsid w:val="00DF4CBD"/>
    <w:rsid w:val="00E71613"/>
    <w:rsid w:val="00E911B4"/>
    <w:rsid w:val="00EB742E"/>
    <w:rsid w:val="00EC6AE1"/>
    <w:rsid w:val="00F37E46"/>
    <w:rsid w:val="00F41ADD"/>
    <w:rsid w:val="00F4200E"/>
    <w:rsid w:val="0D7455EC"/>
    <w:rsid w:val="150B7719"/>
    <w:rsid w:val="1B0563F7"/>
    <w:rsid w:val="1C7C26D4"/>
    <w:rsid w:val="22485648"/>
    <w:rsid w:val="28B30477"/>
    <w:rsid w:val="2DFC4BD0"/>
    <w:rsid w:val="2F743DFB"/>
    <w:rsid w:val="357E2C5E"/>
    <w:rsid w:val="3B475DDF"/>
    <w:rsid w:val="4D6B0B8A"/>
    <w:rsid w:val="5B9F6A71"/>
    <w:rsid w:val="5FB87F27"/>
    <w:rsid w:val="62167B9A"/>
    <w:rsid w:val="62CA32E4"/>
    <w:rsid w:val="689246F7"/>
    <w:rsid w:val="722354C9"/>
    <w:rsid w:val="7360373B"/>
    <w:rsid w:val="7FC56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1"/>
    <w:semiHidden/>
    <w:qFormat/>
    <w:uiPriority w:val="99"/>
    <w:pPr>
      <w:spacing w:line="360" w:lineRule="auto"/>
      <w:ind w:firstLine="480" w:firstLineChars="200"/>
    </w:pPr>
    <w:rPr>
      <w:sz w:val="24"/>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240" w:after="240"/>
      <w:jc w:val="left"/>
    </w:pPr>
    <w:rPr>
      <w:rFonts w:ascii="宋体" w:hAnsi="宋体" w:cs="宋体"/>
      <w:kern w:val="0"/>
      <w:sz w:val="24"/>
    </w:rPr>
  </w:style>
  <w:style w:type="character" w:styleId="8">
    <w:name w:val="Hyperlink"/>
    <w:basedOn w:val="7"/>
    <w:semiHidden/>
    <w:unhideWhenUsed/>
    <w:qFormat/>
    <w:uiPriority w:val="99"/>
    <w:rPr>
      <w:color w:val="0000FF"/>
      <w:u w:val="single"/>
    </w:rPr>
  </w:style>
  <w:style w:type="character" w:customStyle="1" w:styleId="9">
    <w:name w:val="long_text1"/>
    <w:qFormat/>
    <w:uiPriority w:val="99"/>
    <w:rPr>
      <w:rFonts w:cs="Times New Roman"/>
      <w:sz w:val="20"/>
      <w:szCs w:val="20"/>
    </w:rPr>
  </w:style>
  <w:style w:type="character" w:customStyle="1" w:styleId="10">
    <w:name w:val="正文文本缩进 字符"/>
    <w:basedOn w:val="7"/>
    <w:semiHidden/>
    <w:qFormat/>
    <w:uiPriority w:val="99"/>
    <w:rPr>
      <w:rFonts w:ascii="Times New Roman" w:hAnsi="Times New Roman" w:eastAsia="宋体" w:cs="Times New Roman"/>
      <w:szCs w:val="24"/>
    </w:rPr>
  </w:style>
  <w:style w:type="character" w:customStyle="1" w:styleId="11">
    <w:name w:val="正文文本缩进 Char"/>
    <w:link w:val="2"/>
    <w:semiHidden/>
    <w:qFormat/>
    <w:uiPriority w:val="99"/>
    <w:rPr>
      <w:rFonts w:ascii="Times New Roman" w:hAnsi="Times New Roman" w:eastAsia="宋体" w:cs="Times New Roman"/>
      <w:sz w:val="24"/>
      <w:szCs w:val="24"/>
    </w:rPr>
  </w:style>
  <w:style w:type="character" w:customStyle="1" w:styleId="12">
    <w:name w:val="页眉 Char"/>
    <w:basedOn w:val="7"/>
    <w:link w:val="4"/>
    <w:uiPriority w:val="99"/>
    <w:rPr>
      <w:rFonts w:ascii="Times New Roman" w:hAnsi="Times New Roman" w:eastAsia="宋体" w:cs="Times New Roman"/>
      <w:sz w:val="18"/>
      <w:szCs w:val="18"/>
    </w:rPr>
  </w:style>
  <w:style w:type="character" w:customStyle="1" w:styleId="13">
    <w:name w:val="页脚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412</Words>
  <Characters>2354</Characters>
  <Lines>19</Lines>
  <Paragraphs>5</Paragraphs>
  <TotalTime>9</TotalTime>
  <ScaleCrop>false</ScaleCrop>
  <LinksUpToDate>false</LinksUpToDate>
  <CharactersWithSpaces>2761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2021-04-14T08:48:00Z</dcterms:created>
  <dc:creator>彭家乐</dc:creator>
  <cp:lastModifiedBy>柠檬不萌萌</cp:lastModifiedBy>
  <dcterms:modified xsi:type="dcterms:W3CDTF">2021-05-26T00:39:11Z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9DC3A276E8214C7C891788974EE19740</vt:lpwstr>
  </property>
</Properties>
</file>