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仿宋_GB2312" w:eastAsia="仿宋_GB2312"/>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《企业战略报告（英语）》课程中英文简介</w:t>
      </w:r>
    </w:p>
    <w:p>
      <w:pPr>
        <w:spacing w:line="560" w:lineRule="exact"/>
        <w:jc w:val="center"/>
        <w:rPr>
          <w:rFonts w:ascii="仿宋_GB2312" w:eastAsia="仿宋_GB2312"/>
          <w:bCs/>
          <w:color w:val="000000"/>
          <w:kern w:val="0"/>
          <w:sz w:val="32"/>
          <w:szCs w:val="32"/>
        </w:rPr>
      </w:pPr>
      <w:r>
        <w:rPr>
          <w:sz w:val="28"/>
          <w:szCs w:val="28"/>
          <w:lang w:val="en-GB"/>
        </w:rPr>
        <w:t>Strategic Business Reporting</w:t>
      </w:r>
      <w:r>
        <w:rPr>
          <w:rFonts w:hint="eastAsia"/>
          <w:sz w:val="28"/>
          <w:szCs w:val="28"/>
          <w:lang w:val="en-US" w:eastAsia="zh-CN"/>
        </w:rPr>
        <w:t xml:space="preserve"> INT（English）</w:t>
      </w:r>
      <w:r>
        <w:rPr>
          <w:sz w:val="28"/>
          <w:szCs w:val="28"/>
          <w:lang w:val="en-GB"/>
        </w:rPr>
        <w:t xml:space="preserve"> </w:t>
      </w:r>
    </w:p>
    <w:p>
      <w:pPr>
        <w:spacing w:line="560" w:lineRule="exact"/>
        <w:rPr>
          <w:rFonts w:ascii="仿宋_GB2312" w:hAnsi="宋体" w:eastAsia="仿宋_GB2312"/>
          <w:sz w:val="32"/>
          <w:szCs w:val="32"/>
        </w:rPr>
      </w:pPr>
      <w:bookmarkStart w:id="0" w:name="_GoBack"/>
      <w:bookmarkEnd w:id="0"/>
    </w:p>
    <w:p>
      <w:pPr>
        <w:tabs>
          <w:tab w:val="left" w:pos="3885"/>
        </w:tabs>
        <w:spacing w:line="560" w:lineRule="exact"/>
        <w:rPr>
          <w:rFonts w:ascii="宋体" w:hAnsi="宋体"/>
          <w:szCs w:val="21"/>
        </w:rPr>
      </w:pPr>
      <w:r>
        <w:rPr>
          <w:rFonts w:hint="eastAsia" w:ascii="黑体" w:hAnsi="黑体" w:eastAsia="黑体"/>
          <w:szCs w:val="21"/>
        </w:rPr>
        <w:t>课程代码：</w:t>
      </w:r>
      <w:r>
        <w:rPr>
          <w:rFonts w:ascii="黑体" w:hAnsi="黑体" w:eastAsia="黑体"/>
          <w:szCs w:val="21"/>
        </w:rPr>
        <w:t>021454A</w:t>
      </w:r>
      <w:r>
        <w:rPr>
          <w:rFonts w:hint="eastAsia" w:ascii="仿宋_GB2312" w:eastAsia="仿宋_GB2312"/>
          <w:sz w:val="32"/>
          <w:szCs w:val="32"/>
        </w:rPr>
        <w:tab/>
      </w:r>
      <w:r>
        <w:rPr>
          <w:rFonts w:eastAsia="仿宋_GB2312"/>
          <w:b/>
          <w:szCs w:val="21"/>
        </w:rPr>
        <w:t>Course Code：</w:t>
      </w:r>
      <w:r>
        <w:rPr>
          <w:rFonts w:eastAsia="黑体"/>
          <w:szCs w:val="21"/>
          <w:lang w:val="en-GB"/>
        </w:rPr>
        <w:t>021454A</w:t>
      </w:r>
    </w:p>
    <w:p>
      <w:pPr>
        <w:spacing w:line="560" w:lineRule="exact"/>
        <w:jc w:val="center"/>
        <w:rPr>
          <w:rFonts w:hint="eastAsia" w:eastAsia="黑体"/>
          <w:szCs w:val="21"/>
          <w:lang w:val="en-US" w:eastAsia="zh-CN"/>
        </w:rPr>
      </w:pPr>
      <w:r>
        <w:rPr>
          <w:rFonts w:hint="eastAsia" w:ascii="黑体" w:hAnsi="黑体" w:eastAsia="黑体"/>
          <w:szCs w:val="21"/>
        </w:rPr>
        <w:t>课程名称：企业战略</w:t>
      </w:r>
      <w:r>
        <w:rPr>
          <w:rFonts w:ascii="黑体" w:hAnsi="黑体" w:eastAsia="黑体"/>
          <w:szCs w:val="21"/>
        </w:rPr>
        <w:t>报告</w:t>
      </w:r>
      <w:r>
        <w:rPr>
          <w:rFonts w:hint="eastAsia" w:ascii="黑体" w:hAnsi="黑体" w:eastAsia="黑体"/>
          <w:szCs w:val="21"/>
        </w:rPr>
        <w:t xml:space="preserve">（英语） </w:t>
      </w:r>
      <w:r>
        <w:rPr>
          <w:rFonts w:hint="eastAsia" w:ascii="黑体" w:hAnsi="黑体" w:eastAsia="黑体"/>
          <w:szCs w:val="21"/>
          <w:lang w:val="en-US" w:eastAsia="zh-CN"/>
        </w:rPr>
        <w:t xml:space="preserve"> </w:t>
      </w:r>
      <w:r>
        <w:rPr>
          <w:rFonts w:hint="eastAsia" w:ascii="仿宋_GB2312" w:eastAsia="仿宋_GB2312"/>
          <w:sz w:val="32"/>
          <w:szCs w:val="32"/>
        </w:rPr>
        <w:tab/>
      </w:r>
      <w:r>
        <w:rPr>
          <w:rFonts w:eastAsia="仿宋_GB2312"/>
          <w:b/>
          <w:szCs w:val="21"/>
        </w:rPr>
        <w:t>Course Name：</w:t>
      </w:r>
      <w:r>
        <w:rPr>
          <w:rFonts w:eastAsia="黑体"/>
          <w:szCs w:val="21"/>
          <w:lang w:val="en-GB"/>
        </w:rPr>
        <w:t>Strategic Business Reporting</w:t>
      </w:r>
      <w:r>
        <w:rPr>
          <w:rFonts w:hint="eastAsia" w:eastAsia="黑体"/>
          <w:szCs w:val="21"/>
          <w:lang w:val="en-US" w:eastAsia="zh-CN"/>
        </w:rPr>
        <w:t xml:space="preserve"> INT</w:t>
      </w:r>
    </w:p>
    <w:p>
      <w:pPr>
        <w:spacing w:line="560" w:lineRule="exact"/>
        <w:jc w:val="center"/>
        <w:rPr>
          <w:rFonts w:hint="eastAsia" w:eastAsia="黑体"/>
          <w:b/>
          <w:sz w:val="32"/>
          <w:szCs w:val="32"/>
          <w:lang w:val="en-US" w:eastAsia="zh-CN"/>
        </w:rPr>
      </w:pPr>
      <w:r>
        <w:rPr>
          <w:rFonts w:hint="eastAsia" w:eastAsia="黑体"/>
          <w:szCs w:val="21"/>
          <w:lang w:val="en-US" w:eastAsia="zh-CN"/>
        </w:rPr>
        <w:t xml:space="preserve">                               （English）</w:t>
      </w:r>
      <w:r>
        <w:rPr>
          <w:rFonts w:eastAsia="黑体"/>
          <w:szCs w:val="21"/>
          <w:lang w:val="en-GB"/>
        </w:rPr>
        <w:t xml:space="preserve"> </w:t>
      </w:r>
    </w:p>
    <w:p>
      <w:pPr>
        <w:tabs>
          <w:tab w:val="left" w:pos="3900"/>
        </w:tabs>
        <w:spacing w:line="560" w:lineRule="exact"/>
        <w:rPr>
          <w:rFonts w:ascii="仿宋_GB2312" w:eastAsia="仿宋_GB2312"/>
          <w:sz w:val="32"/>
          <w:szCs w:val="32"/>
        </w:rPr>
      </w:pPr>
      <w:r>
        <w:rPr>
          <w:rFonts w:hint="eastAsia" w:ascii="黑体" w:hAnsi="黑体" w:eastAsia="黑体"/>
          <w:szCs w:val="21"/>
        </w:rPr>
        <w:t>学时：</w:t>
      </w:r>
      <w:r>
        <w:rPr>
          <w:rFonts w:ascii="黑体" w:hAnsi="黑体" w:eastAsia="黑体"/>
          <w:szCs w:val="21"/>
        </w:rPr>
        <w:t>6</w:t>
      </w:r>
      <w:r>
        <w:rPr>
          <w:rFonts w:hint="eastAsia" w:ascii="黑体" w:hAnsi="黑体" w:eastAsia="黑体"/>
          <w:szCs w:val="21"/>
        </w:rPr>
        <w:t>4</w:t>
      </w:r>
      <w:r>
        <w:rPr>
          <w:rFonts w:hint="eastAsia" w:ascii="仿宋_GB2312" w:eastAsia="仿宋_GB2312"/>
          <w:sz w:val="32"/>
          <w:szCs w:val="32"/>
        </w:rPr>
        <w:tab/>
      </w:r>
      <w:r>
        <w:rPr>
          <w:rFonts w:hint="eastAsia" w:eastAsia="仿宋_GB2312"/>
          <w:b/>
          <w:szCs w:val="21"/>
        </w:rPr>
        <w:t>Periods：</w:t>
      </w:r>
      <w:r>
        <w:rPr>
          <w:rFonts w:eastAsia="黑体"/>
          <w:szCs w:val="21"/>
          <w:lang w:val="en-GB"/>
        </w:rPr>
        <w:t>6</w:t>
      </w:r>
      <w:r>
        <w:rPr>
          <w:rFonts w:hint="eastAsia" w:eastAsia="黑体"/>
          <w:szCs w:val="21"/>
          <w:lang w:val="en-GB"/>
        </w:rPr>
        <w:t>4</w:t>
      </w:r>
    </w:p>
    <w:p>
      <w:pPr>
        <w:tabs>
          <w:tab w:val="left" w:pos="3900"/>
        </w:tabs>
        <w:spacing w:line="560" w:lineRule="exact"/>
        <w:rPr>
          <w:rFonts w:ascii="仿宋_GB2312" w:eastAsia="仿宋_GB2312"/>
          <w:sz w:val="32"/>
          <w:szCs w:val="32"/>
        </w:rPr>
      </w:pPr>
      <w:r>
        <w:rPr>
          <w:rFonts w:hint="eastAsia" w:ascii="黑体" w:hAnsi="黑体" w:eastAsia="黑体"/>
          <w:szCs w:val="21"/>
        </w:rPr>
        <w:t>学分：</w:t>
      </w:r>
      <w:r>
        <w:rPr>
          <w:rFonts w:ascii="黑体" w:hAnsi="黑体" w:eastAsia="黑体"/>
          <w:szCs w:val="21"/>
        </w:rPr>
        <w:t>4</w:t>
      </w:r>
      <w:r>
        <w:rPr>
          <w:rFonts w:hint="eastAsia" w:ascii="仿宋_GB2312" w:eastAsia="仿宋_GB2312"/>
          <w:sz w:val="32"/>
          <w:szCs w:val="32"/>
        </w:rPr>
        <w:tab/>
      </w:r>
      <w:r>
        <w:rPr>
          <w:rFonts w:eastAsia="仿宋_GB2312"/>
          <w:b/>
          <w:szCs w:val="21"/>
        </w:rPr>
        <w:t>Credits：</w:t>
      </w:r>
      <w:r>
        <w:rPr>
          <w:rFonts w:eastAsia="黑体"/>
          <w:szCs w:val="21"/>
          <w:lang w:val="en-GB"/>
        </w:rPr>
        <w:t>4</w:t>
      </w:r>
    </w:p>
    <w:p>
      <w:pPr>
        <w:tabs>
          <w:tab w:val="left" w:pos="3900"/>
        </w:tabs>
        <w:spacing w:line="560" w:lineRule="exact"/>
        <w:rPr>
          <w:rFonts w:ascii="黑体" w:hAnsi="黑体" w:eastAsia="黑体"/>
          <w:szCs w:val="21"/>
        </w:rPr>
      </w:pPr>
      <w:r>
        <w:rPr>
          <w:rFonts w:hint="eastAsia" w:ascii="黑体" w:hAnsi="黑体" w:eastAsia="黑体"/>
          <w:szCs w:val="21"/>
        </w:rPr>
        <w:t>考核方式：</w:t>
      </w:r>
      <w:r>
        <w:rPr>
          <w:rFonts w:ascii="黑体" w:hAnsi="黑体" w:eastAsia="黑体"/>
          <w:szCs w:val="21"/>
        </w:rPr>
        <w:t>考试</w:t>
      </w:r>
      <w:r>
        <w:rPr>
          <w:rFonts w:hint="eastAsia" w:ascii="黑体" w:hAnsi="黑体" w:eastAsia="黑体"/>
          <w:szCs w:val="21"/>
        </w:rPr>
        <w:tab/>
      </w:r>
      <w:r>
        <w:rPr>
          <w:rFonts w:hint="eastAsia" w:eastAsia="仿宋_GB2312"/>
          <w:b/>
          <w:szCs w:val="21"/>
        </w:rPr>
        <w:t>Assessment：</w:t>
      </w:r>
      <w:r>
        <w:rPr>
          <w:rFonts w:eastAsia="黑体"/>
          <w:szCs w:val="21"/>
          <w:lang w:val="en-GB"/>
        </w:rPr>
        <w:t>Examination</w:t>
      </w:r>
    </w:p>
    <w:p>
      <w:pPr>
        <w:tabs>
          <w:tab w:val="left" w:pos="3900"/>
        </w:tabs>
        <w:spacing w:line="560" w:lineRule="exact"/>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rPr>
        <w:t>财务报告</w:t>
      </w:r>
      <w:r>
        <w:rPr>
          <w:rFonts w:hint="eastAsia" w:ascii="仿宋_GB2312" w:eastAsia="仿宋_GB2312"/>
          <w:sz w:val="32"/>
          <w:szCs w:val="32"/>
        </w:rPr>
        <w:tab/>
      </w:r>
      <w:r>
        <w:rPr>
          <w:rFonts w:hint="eastAsia" w:eastAsia="仿宋_GB2312"/>
          <w:b/>
          <w:szCs w:val="21"/>
        </w:rPr>
        <w:t>Preparatory Courses：</w:t>
      </w:r>
      <w:r>
        <w:rPr>
          <w:rFonts w:eastAsia="黑体"/>
          <w:szCs w:val="21"/>
          <w:lang w:val="en-GB"/>
        </w:rPr>
        <w:t xml:space="preserve"> Financial Reporting</w:t>
      </w:r>
    </w:p>
    <w:p>
      <w:pPr>
        <w:widowControl/>
        <w:spacing w:line="560" w:lineRule="exact"/>
        <w:ind w:firstLine="420" w:firstLineChars="200"/>
        <w:jc w:val="left"/>
        <w:rPr>
          <w:rFonts w:ascii="宋体" w:hAnsi="宋体"/>
          <w:kern w:val="0"/>
          <w:szCs w:val="21"/>
        </w:rPr>
      </w:pPr>
    </w:p>
    <w:p>
      <w:pPr>
        <w:widowControl/>
        <w:spacing w:line="560" w:lineRule="exact"/>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企业战略</w:t>
      </w:r>
      <w:r>
        <w:rPr>
          <w:rFonts w:ascii="宋体" w:hAnsi="宋体"/>
          <w:kern w:val="0"/>
          <w:szCs w:val="21"/>
        </w:rPr>
        <w:t>报告（英语）》</w:t>
      </w:r>
      <w:r>
        <w:rPr>
          <w:rFonts w:hint="eastAsia" w:ascii="宋体" w:hAnsi="宋体"/>
          <w:kern w:val="0"/>
          <w:szCs w:val="21"/>
        </w:rPr>
        <w:t>是为会计学院国际会计班开设的专业课</w:t>
      </w:r>
      <w:r>
        <w:rPr>
          <w:rFonts w:ascii="宋体" w:hAnsi="宋体"/>
          <w:kern w:val="0"/>
          <w:szCs w:val="21"/>
        </w:rPr>
        <w:t>。</w:t>
      </w:r>
      <w:r>
        <w:rPr>
          <w:rFonts w:hint="eastAsia" w:ascii="宋体" w:hAnsi="宋体"/>
          <w:kern w:val="0"/>
          <w:szCs w:val="21"/>
        </w:rPr>
        <w:t>本课程的目的是讨论、应用和评估各种背景下企业报告的编制和解释的概念、原则和实践，包括对管理层管理工作的道德评估和不同利益相关者群体的信息需求等。培养学生处理国际会计准则概念框架下编制企业</w:t>
      </w:r>
      <w:r>
        <w:rPr>
          <w:rFonts w:ascii="宋体" w:hAnsi="宋体"/>
          <w:kern w:val="0"/>
          <w:szCs w:val="21"/>
        </w:rPr>
        <w:t>报告</w:t>
      </w:r>
      <w:r>
        <w:rPr>
          <w:rFonts w:hint="eastAsia" w:ascii="宋体" w:hAnsi="宋体"/>
          <w:kern w:val="0"/>
          <w:szCs w:val="21"/>
        </w:rPr>
        <w:t>所需的技术和程序技能；提高学生评估现状、确认问题以及利用职业判断提出建议的能力。本课程要求学生对国际会计准则理事会的财务报告概念框架有较好</w:t>
      </w:r>
      <w:r>
        <w:rPr>
          <w:rFonts w:ascii="宋体" w:hAnsi="宋体"/>
          <w:kern w:val="0"/>
          <w:szCs w:val="21"/>
        </w:rPr>
        <w:t>的</w:t>
      </w:r>
      <w:r>
        <w:rPr>
          <w:rFonts w:hint="eastAsia" w:ascii="宋体" w:hAnsi="宋体"/>
          <w:kern w:val="0"/>
          <w:szCs w:val="21"/>
        </w:rPr>
        <w:t>理解，并将之作为在公司报告中应用国际财务报告准则的判断依据。同时</w:t>
      </w:r>
      <w:r>
        <w:rPr>
          <w:rFonts w:ascii="宋体" w:hAnsi="宋体"/>
          <w:kern w:val="0"/>
          <w:szCs w:val="21"/>
        </w:rPr>
        <w:t>还</w:t>
      </w:r>
      <w:r>
        <w:rPr>
          <w:rFonts w:hint="eastAsia" w:ascii="宋体" w:hAnsi="宋体"/>
          <w:kern w:val="0"/>
          <w:szCs w:val="21"/>
        </w:rPr>
        <w:t>需要对国际财务报告准则的原则和实践</w:t>
      </w:r>
      <w:r>
        <w:rPr>
          <w:rFonts w:ascii="宋体" w:hAnsi="宋体"/>
          <w:kern w:val="0"/>
          <w:szCs w:val="21"/>
        </w:rPr>
        <w:t>有所了解</w:t>
      </w:r>
      <w:r>
        <w:rPr>
          <w:rFonts w:hint="eastAsia" w:ascii="宋体" w:hAnsi="宋体"/>
          <w:kern w:val="0"/>
          <w:szCs w:val="21"/>
        </w:rPr>
        <w:t>，并将之作为编制财务报表的基础，并从公司报告编制者的角度和各种不同利益相关者的角度来审核公司报告。</w:t>
      </w:r>
    </w:p>
    <w:p>
      <w:pPr>
        <w:widowControl/>
        <w:spacing w:line="560" w:lineRule="exact"/>
        <w:ind w:firstLine="420" w:firstLineChars="200"/>
        <w:jc w:val="left"/>
        <w:rPr>
          <w:rFonts w:hint="eastAsia" w:ascii="宋体" w:hAnsi="宋体"/>
          <w:kern w:val="0"/>
          <w:szCs w:val="21"/>
        </w:rPr>
      </w:pPr>
    </w:p>
    <w:p>
      <w:pPr>
        <w:widowControl/>
        <w:adjustRightInd w:val="0"/>
        <w:snapToGrid w:val="0"/>
        <w:spacing w:line="360" w:lineRule="auto"/>
        <w:ind w:firstLine="420" w:firstLineChars="200"/>
      </w:pPr>
      <w:r>
        <w:t>“Strategic Business Reporting”</w:t>
      </w:r>
      <w:r>
        <w:rPr>
          <w:rFonts w:hint="eastAsia"/>
        </w:rPr>
        <w:t xml:space="preserve"> </w:t>
      </w:r>
      <w:r>
        <w:t xml:space="preserve">is one of mandatory courses in </w:t>
      </w:r>
      <w:r>
        <w:rPr>
          <w:rFonts w:hint="eastAsia"/>
        </w:rPr>
        <w:t xml:space="preserve">the </w:t>
      </w:r>
      <w:r>
        <w:t xml:space="preserve">international accounting program of professional studies. The aim of the course is to discuss, apply and evaluate the concepts, principles and practices that underpin the preparation and interpretation of corporate reports in various contexts including the ethical assessment of managements’ stewardship and the information needs of a diverse group of stakeholders. </w:t>
      </w:r>
    </w:p>
    <w:p>
      <w:pPr>
        <w:widowControl/>
        <w:adjustRightInd w:val="0"/>
        <w:snapToGrid w:val="0"/>
        <w:spacing w:line="360" w:lineRule="auto"/>
        <w:ind w:firstLine="420" w:firstLineChars="200"/>
      </w:pPr>
      <w:r>
        <w:t>This course requires students to have a cohesive understanding of the IASB’s Conceptual Framework for Financial Reporting and to use the Framework as a basis for judgement in applying International Financial Reporting Standards in corporate reports. Both the principles and practices of IFRS and uses these principles as a basis for the preparation of the financial statements are required. It also examines corporate reporting both from the point of view of the preparer of corporate reports, and from the perspective of a variety of different stakeholders.</w:t>
      </w: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633"/>
    <w:rsid w:val="001B7633"/>
    <w:rsid w:val="002B792F"/>
    <w:rsid w:val="00336642"/>
    <w:rsid w:val="003C4639"/>
    <w:rsid w:val="007F1324"/>
    <w:rsid w:val="00A05949"/>
    <w:rsid w:val="00A44011"/>
    <w:rsid w:val="00BB14BF"/>
    <w:rsid w:val="72612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character" w:customStyle="1" w:styleId="8">
    <w:name w:val="long_text1"/>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230</Words>
  <Characters>1317</Characters>
  <Lines>10</Lines>
  <Paragraphs>3</Paragraphs>
  <TotalTime>1</TotalTime>
  <ScaleCrop>false</ScaleCrop>
  <LinksUpToDate>false</LinksUpToDate>
  <CharactersWithSpaces>1544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2021-05-20T06:00:00Z</dcterms:created>
  <dc:creator>xinyi</dc:creator>
  <cp:lastModifiedBy>柠檬不萌萌</cp:lastModifiedBy>
  <dcterms:modified xsi:type="dcterms:W3CDTF">2021-05-25T07:29:26Z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8136110BEB2447FC9FD125DDC76D3602</vt:lpwstr>
  </property>
</Properties>
</file>