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3DA34">
      <w:pPr>
        <w:spacing w:line="560" w:lineRule="exact"/>
        <w:jc w:val="center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44"/>
        </w:rPr>
        <w:t>工商管理（国际商务）</w:t>
      </w:r>
      <w:r>
        <w:rPr>
          <w:rFonts w:hint="eastAsia" w:asciiTheme="minorEastAsia" w:hAnsiTheme="minorEastAsia" w:eastAsiaTheme="minorEastAsia"/>
          <w:b/>
          <w:sz w:val="36"/>
          <w:szCs w:val="36"/>
        </w:rPr>
        <w:t>专业本科人才培养方案</w:t>
      </w:r>
    </w:p>
    <w:p w14:paraId="43C5DB01">
      <w:pPr>
        <w:pStyle w:val="12"/>
        <w:tabs>
          <w:tab w:val="left" w:pos="1380"/>
        </w:tabs>
        <w:spacing w:before="0" w:after="0" w:line="560" w:lineRule="exact"/>
        <w:jc w:val="center"/>
        <w:rPr>
          <w:rFonts w:ascii="方正小标宋简体" w:hAnsi="Times New Roman" w:eastAsia="方正小标宋简体"/>
          <w:bCs/>
          <w:sz w:val="28"/>
          <w:szCs w:val="28"/>
        </w:rPr>
      </w:pPr>
      <w:r>
        <w:rPr>
          <w:rFonts w:hint="eastAsia" w:ascii="方正小标宋简体" w:eastAsia="方正小标宋简体"/>
          <w:bCs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专业代码：</w:t>
      </w:r>
      <w:r>
        <w:rPr>
          <w:rFonts w:ascii="方正小标宋简体" w:eastAsia="方正小标宋简体"/>
          <w:bCs/>
          <w:sz w:val="28"/>
          <w:szCs w:val="44"/>
        </w:rPr>
        <w:t>120201K</w:t>
      </w:r>
      <w:r>
        <w:rPr>
          <w:rFonts w:hint="eastAsia" w:ascii="方正小标宋简体" w:eastAsia="方正小标宋简体"/>
          <w:bCs/>
          <w:sz w:val="28"/>
          <w:szCs w:val="28"/>
        </w:rPr>
        <w:t>）</w:t>
      </w:r>
    </w:p>
    <w:p w14:paraId="04B8BBA1">
      <w:pPr>
        <w:pStyle w:val="36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一、培养目标</w:t>
      </w:r>
    </w:p>
    <w:p w14:paraId="1BE3741E">
      <w:pPr>
        <w:widowControl/>
        <w:spacing w:line="360" w:lineRule="auto"/>
        <w:ind w:firstLine="480" w:firstLineChars="200"/>
        <w:jc w:val="left"/>
        <w:rPr>
          <w:rFonts w:hAnsi="宋体"/>
          <w:sz w:val="24"/>
        </w:rPr>
      </w:pPr>
      <w:r>
        <w:rPr>
          <w:rFonts w:hint="eastAsia" w:hAnsi="宋体"/>
          <w:sz w:val="24"/>
        </w:rPr>
        <w:t>本专业以立德树人为根本，秉承“厚德精业，守正出新”的价值观，肩负“植根管理实践，探索商学前沿，培养卓越商才，服务社会发展”的使命，坚持“三全育人”，推进思政育人与专业育人同向同行，培养具有社会主义核心价值观，适应现代经济和社会发展需要，德智体美劳全面发展，掌握现代管理理论与管理方法、具备良好的专业知识综合素养、具备国际贸易和电子商务管理能力，适应经济全球化发展需要，通晓国际商务发展动向与前沿，掌握国际商务理论知识及实践技能，谙熟国际经济法规和商务惯例，具有良好的国际视野与战略眼光、较强的商务实践能力、创新创业能力以及团队合作能力，以国际化、实践型为突出特征的高层次复合型国际商务人才。</w:t>
      </w:r>
    </w:p>
    <w:p w14:paraId="018C140C">
      <w:pPr>
        <w:pStyle w:val="36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二、毕业要求</w:t>
      </w:r>
    </w:p>
    <w:p w14:paraId="23A70850">
      <w:pPr>
        <w:pStyle w:val="36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>．</w:t>
      </w:r>
      <w:r>
        <w:rPr>
          <w:rFonts w:hint="eastAsia"/>
          <w:sz w:val="24"/>
        </w:rPr>
        <w:t>掌握马克思主义、毛泽东思想和中国特色社会主义理论体系；具有良好的思想品德、社会公德和个人修养；塑造正确的世界观、人生观、价值观；具有爱岗敬业、遵纪守法和团结合作的品质；具有为国家富强、民族昌盛而奋斗的志向和责任感；</w:t>
      </w:r>
    </w:p>
    <w:p w14:paraId="19D9D16E">
      <w:pPr>
        <w:pStyle w:val="36"/>
        <w:widowControl/>
        <w:spacing w:line="360" w:lineRule="auto"/>
        <w:ind w:firstLine="480"/>
        <w:jc w:val="left"/>
        <w:rPr>
          <w:sz w:val="24"/>
        </w:rPr>
      </w:pPr>
      <w:r>
        <w:rPr>
          <w:rFonts w:hint="eastAsia"/>
          <w:sz w:val="24"/>
        </w:rPr>
        <w:t>2. 系统掌握从事国际商务工作所需要的管理学、营销学、经济学、贸易学、金融学等方面的基本知识和基本技能，具备良好的学习能力、分析与解决实际问题的能力，具备较强的商务谈判技能、企业管理与市场营销技能。</w:t>
      </w:r>
    </w:p>
    <w:p w14:paraId="58D61446">
      <w:pPr>
        <w:pStyle w:val="36"/>
        <w:widowControl/>
        <w:spacing w:line="360" w:lineRule="auto"/>
        <w:ind w:firstLine="480"/>
        <w:jc w:val="left"/>
        <w:rPr>
          <w:bCs/>
          <w:color w:val="000000"/>
          <w:kern w:val="0"/>
          <w:sz w:val="24"/>
          <w:szCs w:val="24"/>
        </w:rPr>
      </w:pPr>
      <w:r>
        <w:rPr>
          <w:bCs/>
          <w:color w:val="000000"/>
          <w:kern w:val="0"/>
          <w:sz w:val="24"/>
          <w:szCs w:val="24"/>
        </w:rPr>
        <w:t>3.</w:t>
      </w:r>
      <w:r>
        <w:rPr>
          <w:bCs/>
          <w:color w:val="000000"/>
          <w:kern w:val="0"/>
          <w:sz w:val="24"/>
          <w:szCs w:val="24"/>
        </w:rPr>
        <w:tab/>
      </w:r>
      <w:r>
        <w:rPr>
          <w:bCs/>
          <w:color w:val="000000"/>
          <w:kern w:val="0"/>
          <w:sz w:val="24"/>
          <w:szCs w:val="24"/>
        </w:rPr>
        <w:t>具有较好的语言与文字表达能力，熟练应用一门外国语，能够使用书面和口头表达方式与国内外业界同行、社会公众就本专业领域现象和问题进行有效沟通与交流；</w:t>
      </w:r>
    </w:p>
    <w:p w14:paraId="21373DF7">
      <w:pPr>
        <w:pStyle w:val="36"/>
        <w:widowControl/>
        <w:spacing w:line="360" w:lineRule="auto"/>
        <w:ind w:firstLine="480"/>
        <w:jc w:val="left"/>
        <w:rPr>
          <w:bCs/>
          <w:color w:val="000000"/>
          <w:kern w:val="0"/>
          <w:sz w:val="24"/>
          <w:szCs w:val="24"/>
        </w:rPr>
      </w:pPr>
      <w:r>
        <w:rPr>
          <w:bCs/>
          <w:color w:val="000000"/>
          <w:kern w:val="0"/>
          <w:sz w:val="24"/>
          <w:szCs w:val="24"/>
        </w:rPr>
        <w:t>4.</w:t>
      </w:r>
      <w:r>
        <w:rPr>
          <w:bCs/>
          <w:color w:val="000000"/>
          <w:kern w:val="0"/>
          <w:sz w:val="24"/>
          <w:szCs w:val="24"/>
        </w:rPr>
        <w:tab/>
      </w:r>
      <w:r>
        <w:rPr>
          <w:bCs/>
          <w:color w:val="000000"/>
          <w:kern w:val="0"/>
          <w:sz w:val="24"/>
          <w:szCs w:val="24"/>
        </w:rPr>
        <w:t>能够熟练运用计算机和管理实务方面的应用软件，对商务以及市场数据信息进行收集和分析处理，能够迅速适应实际工作岗位的要求；</w:t>
      </w:r>
    </w:p>
    <w:p w14:paraId="483C678F">
      <w:pPr>
        <w:pStyle w:val="36"/>
        <w:widowControl/>
        <w:spacing w:line="360" w:lineRule="auto"/>
        <w:ind w:firstLine="480"/>
        <w:jc w:val="left"/>
        <w:rPr>
          <w:bCs/>
          <w:color w:val="000000"/>
          <w:kern w:val="0"/>
          <w:sz w:val="24"/>
          <w:szCs w:val="24"/>
        </w:rPr>
      </w:pPr>
      <w:r>
        <w:rPr>
          <w:bCs/>
          <w:color w:val="000000"/>
          <w:kern w:val="0"/>
          <w:sz w:val="24"/>
          <w:szCs w:val="24"/>
        </w:rPr>
        <w:t>5.</w:t>
      </w:r>
      <w:r>
        <w:rPr>
          <w:bCs/>
          <w:color w:val="000000"/>
          <w:kern w:val="0"/>
          <w:sz w:val="24"/>
          <w:szCs w:val="24"/>
        </w:rPr>
        <w:tab/>
      </w:r>
      <w:r>
        <w:rPr>
          <w:bCs/>
          <w:color w:val="000000"/>
          <w:kern w:val="0"/>
          <w:sz w:val="24"/>
          <w:szCs w:val="24"/>
        </w:rPr>
        <w:t>具有较强社会适应能力和学习能力，具有自主学习和终身学习意识。具有宽广的国际视野，熟悉国际惯例，顺应国际化趋势；</w:t>
      </w:r>
    </w:p>
    <w:p w14:paraId="6D0EF919">
      <w:pPr>
        <w:pStyle w:val="36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bCs/>
          <w:color w:val="000000"/>
          <w:kern w:val="0"/>
          <w:sz w:val="24"/>
          <w:szCs w:val="24"/>
        </w:rPr>
        <w:t>6.</w:t>
      </w:r>
      <w:r>
        <w:rPr>
          <w:bCs/>
          <w:color w:val="000000"/>
          <w:kern w:val="0"/>
          <w:sz w:val="24"/>
          <w:szCs w:val="24"/>
        </w:rPr>
        <w:tab/>
      </w:r>
      <w:r>
        <w:rPr>
          <w:bCs/>
          <w:color w:val="000000"/>
          <w:kern w:val="0"/>
          <w:sz w:val="24"/>
          <w:szCs w:val="24"/>
        </w:rPr>
        <w:t>具有扎</w:t>
      </w:r>
      <w:r>
        <w:rPr>
          <w:rFonts w:hint="eastAsia" w:ascii="宋体" w:hAnsi="宋体"/>
          <w:bCs/>
          <w:color w:val="000000"/>
          <w:kern w:val="0"/>
          <w:sz w:val="24"/>
          <w:szCs w:val="24"/>
        </w:rPr>
        <w:t>实的专业基础，宽泛的知识面和知识结构，了解国内外国际商务学科动态，具备分析和解决国际商务实际问题的能力；</w:t>
      </w:r>
    </w:p>
    <w:p w14:paraId="2F35039F">
      <w:pPr>
        <w:pStyle w:val="36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hint="eastAsia"/>
          <w:sz w:val="24"/>
        </w:rPr>
        <w:t>7. 具有人文素养、科学精神和社会责任感，熟悉国际商务活动的有关政策和法规、国际惯例与规则，</w:t>
      </w:r>
      <w:r>
        <w:rPr>
          <w:rFonts w:hint="eastAsia" w:ascii="宋体" w:hAnsi="宋体"/>
          <w:bCs/>
          <w:color w:val="000000"/>
          <w:kern w:val="0"/>
          <w:sz w:val="24"/>
          <w:szCs w:val="24"/>
        </w:rPr>
        <w:t>能够在本专业领域实践活动中理解并遵守职业道德和职业规范，具有良好的职业道德素养、健康的心理和体魄。</w:t>
      </w:r>
    </w:p>
    <w:p w14:paraId="3668AB96">
      <w:pPr>
        <w:pStyle w:val="36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三、培养特色</w:t>
      </w:r>
    </w:p>
    <w:p w14:paraId="7DEA5927">
      <w:pPr>
        <w:pStyle w:val="36"/>
        <w:widowControl/>
        <w:spacing w:line="360" w:lineRule="auto"/>
        <w:ind w:firstLine="482"/>
        <w:jc w:val="left"/>
        <w:rPr>
          <w:sz w:val="24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1.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</w:t>
      </w:r>
      <w:r>
        <w:rPr>
          <w:b/>
          <w:sz w:val="24"/>
        </w:rPr>
        <w:t>突出国际化</w:t>
      </w:r>
      <w:r>
        <w:rPr>
          <w:rFonts w:hint="eastAsia"/>
          <w:b/>
          <w:sz w:val="24"/>
        </w:rPr>
        <w:t>商务</w:t>
      </w:r>
      <w:r>
        <w:rPr>
          <w:b/>
          <w:sz w:val="24"/>
        </w:rPr>
        <w:t>人才培养。</w:t>
      </w:r>
      <w:r>
        <w:rPr>
          <w:sz w:val="24"/>
        </w:rPr>
        <w:t>本专业主要核心专业课程</w:t>
      </w:r>
      <w:r>
        <w:rPr>
          <w:rFonts w:hint="eastAsia"/>
          <w:sz w:val="24"/>
        </w:rPr>
        <w:t>均基于国际化视野进行课程内容设置，例如国际税收、国际结算、国际商法、国际金融等，并且</w:t>
      </w:r>
      <w:r>
        <w:rPr>
          <w:sz w:val="24"/>
        </w:rPr>
        <w:t>实行全英文</w:t>
      </w:r>
      <w:r>
        <w:rPr>
          <w:rFonts w:hint="eastAsia"/>
          <w:sz w:val="24"/>
        </w:rPr>
        <w:t>或</w:t>
      </w:r>
      <w:r>
        <w:rPr>
          <w:sz w:val="24"/>
        </w:rPr>
        <w:t>双语教学</w:t>
      </w:r>
      <w:r>
        <w:rPr>
          <w:rFonts w:hint="eastAsia"/>
          <w:sz w:val="24"/>
        </w:rPr>
        <w:t>。</w:t>
      </w:r>
      <w:r>
        <w:rPr>
          <w:sz w:val="24"/>
        </w:rPr>
        <w:t>在国际化交流方面，</w:t>
      </w:r>
      <w:r>
        <w:rPr>
          <w:rFonts w:hint="eastAsia"/>
          <w:sz w:val="24"/>
        </w:rPr>
        <w:t>依托学校平台资源，</w:t>
      </w:r>
      <w:r>
        <w:rPr>
          <w:sz w:val="24"/>
        </w:rPr>
        <w:t>通过与英国、爱尔兰、加拿大、美国、日本等</w:t>
      </w:r>
      <w:r>
        <w:rPr>
          <w:rFonts w:hint="eastAsia"/>
          <w:sz w:val="24"/>
        </w:rPr>
        <w:t>国家高校</w:t>
      </w:r>
      <w:r>
        <w:rPr>
          <w:sz w:val="24"/>
        </w:rPr>
        <w:t>的合作，提供合作办学、短期交流、修学旅行、国际化实习等丰富多彩的</w:t>
      </w:r>
      <w:r>
        <w:rPr>
          <w:rFonts w:hint="eastAsia"/>
          <w:sz w:val="24"/>
        </w:rPr>
        <w:t>国际</w:t>
      </w:r>
      <w:r>
        <w:rPr>
          <w:sz w:val="24"/>
        </w:rPr>
        <w:t>交流活动。</w:t>
      </w:r>
    </w:p>
    <w:p w14:paraId="1BB73874">
      <w:pPr>
        <w:tabs>
          <w:tab w:val="left" w:pos="8306"/>
        </w:tabs>
        <w:spacing w:line="360" w:lineRule="auto"/>
        <w:ind w:right="-57" w:rightChars="-27" w:firstLine="463" w:firstLineChars="192"/>
        <w:rPr>
          <w:rFonts w:ascii="宋体" w:hAnsi="宋体"/>
          <w:b/>
          <w:sz w:val="24"/>
        </w:rPr>
      </w:pPr>
      <w:r>
        <w:rPr>
          <w:b/>
          <w:sz w:val="24"/>
        </w:rPr>
        <w:t>2</w:t>
      </w:r>
      <w:r>
        <w:rPr>
          <w:rFonts w:hint="eastAsia"/>
          <w:b/>
          <w:sz w:val="24"/>
        </w:rPr>
        <w:t>.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sz w:val="24"/>
        </w:rPr>
        <w:t>突出跨学科复合型人才培养。</w:t>
      </w:r>
      <w:r>
        <w:rPr>
          <w:rFonts w:hint="eastAsia" w:ascii="宋体" w:hAnsi="宋体"/>
          <w:sz w:val="24"/>
        </w:rPr>
        <w:t>本专业课程体系以企业管理与市场营销系列课程为基础支撑，同时融合了经济学、商法学、贸易学、金融学、会计学、税收学等领域的知识，通过跨学科知识融合拓宽学生的知识面、提升其应对复杂多变商务环境的能力、以及在此环境中综合分析问题与解决问题的能力，突出高层次复合型人才培养。</w:t>
      </w:r>
    </w:p>
    <w:p w14:paraId="4CE9650C">
      <w:pPr>
        <w:tabs>
          <w:tab w:val="left" w:pos="8306"/>
        </w:tabs>
        <w:spacing w:line="360" w:lineRule="auto"/>
        <w:ind w:right="-57" w:rightChars="-27" w:firstLine="463" w:firstLineChars="192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3</w:t>
      </w:r>
      <w:r>
        <w:rPr>
          <w:rFonts w:hint="eastAsia" w:ascii="宋体" w:hAnsi="宋体"/>
          <w:b/>
          <w:sz w:val="24"/>
        </w:rPr>
        <w:t>.</w:t>
      </w:r>
      <w:r>
        <w:rPr>
          <w:rFonts w:ascii="宋体" w:hAnsi="宋体"/>
          <w:b/>
          <w:sz w:val="24"/>
        </w:rPr>
        <w:t>注重</w:t>
      </w:r>
      <w:r>
        <w:rPr>
          <w:rFonts w:hint="eastAsia" w:ascii="宋体" w:hAnsi="宋体"/>
          <w:b/>
          <w:sz w:val="24"/>
        </w:rPr>
        <w:t>学生</w:t>
      </w:r>
      <w:r>
        <w:rPr>
          <w:rFonts w:ascii="宋体" w:hAnsi="宋体"/>
          <w:b/>
          <w:sz w:val="24"/>
        </w:rPr>
        <w:t>实践</w:t>
      </w:r>
      <w:r>
        <w:rPr>
          <w:rFonts w:hint="eastAsia" w:ascii="宋体" w:hAnsi="宋体"/>
          <w:b/>
          <w:sz w:val="24"/>
        </w:rPr>
        <w:t>创新</w:t>
      </w:r>
      <w:r>
        <w:rPr>
          <w:rFonts w:ascii="宋体" w:hAnsi="宋体"/>
          <w:b/>
          <w:sz w:val="24"/>
        </w:rPr>
        <w:t>能力的培养。</w:t>
      </w:r>
      <w:r>
        <w:rPr>
          <w:rFonts w:hint="eastAsia" w:ascii="宋体" w:hAnsi="宋体"/>
          <w:sz w:val="24"/>
        </w:rPr>
        <w:t>课程体系注重</w:t>
      </w:r>
      <w:r>
        <w:rPr>
          <w:rFonts w:ascii="宋体" w:hAnsi="宋体"/>
          <w:sz w:val="24"/>
        </w:rPr>
        <w:t>学生</w:t>
      </w:r>
      <w:r>
        <w:rPr>
          <w:rFonts w:hint="eastAsia" w:ascii="宋体" w:hAnsi="宋体"/>
          <w:sz w:val="24"/>
        </w:rPr>
        <w:t>实践</w:t>
      </w:r>
      <w:r>
        <w:rPr>
          <w:rFonts w:ascii="宋体" w:hAnsi="宋体"/>
          <w:sz w:val="24"/>
        </w:rPr>
        <w:t>技能的培养，</w:t>
      </w:r>
      <w:r>
        <w:rPr>
          <w:rFonts w:hint="eastAsia" w:ascii="宋体" w:hAnsi="宋体"/>
          <w:sz w:val="24"/>
        </w:rPr>
        <w:t>设置了</w:t>
      </w:r>
      <w:r>
        <w:rPr>
          <w:rFonts w:ascii="宋体" w:hAnsi="宋体"/>
          <w:sz w:val="24"/>
        </w:rPr>
        <w:t>商务谈判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客户关系管理等课程的实践</w:t>
      </w:r>
      <w:r>
        <w:rPr>
          <w:rFonts w:hint="eastAsia" w:ascii="宋体" w:hAnsi="宋体"/>
          <w:sz w:val="24"/>
        </w:rPr>
        <w:t>教学模块，</w:t>
      </w:r>
      <w:r>
        <w:rPr>
          <w:rFonts w:ascii="宋体" w:hAnsi="宋体"/>
          <w:sz w:val="24"/>
        </w:rPr>
        <w:t>在实战模拟中提升学生的</w:t>
      </w:r>
      <w:r>
        <w:rPr>
          <w:rFonts w:hint="eastAsia" w:ascii="宋体" w:hAnsi="宋体"/>
          <w:sz w:val="24"/>
        </w:rPr>
        <w:t>实践创新</w:t>
      </w:r>
      <w:r>
        <w:rPr>
          <w:rFonts w:ascii="宋体" w:hAnsi="宋体"/>
          <w:sz w:val="24"/>
        </w:rPr>
        <w:t>能力。</w:t>
      </w:r>
      <w:r>
        <w:rPr>
          <w:rFonts w:hint="eastAsia" w:ascii="宋体" w:hAnsi="宋体"/>
          <w:sz w:val="24"/>
        </w:rPr>
        <w:t>在课外实践方面,与多家知名企业建立战略合作伙伴关系,给学生提供了实战平台。</w:t>
      </w:r>
    </w:p>
    <w:p w14:paraId="63124899">
      <w:pPr>
        <w:tabs>
          <w:tab w:val="left" w:pos="8306"/>
        </w:tabs>
        <w:spacing w:line="360" w:lineRule="auto"/>
        <w:ind w:right="-57" w:rightChars="-27" w:firstLine="460" w:firstLineChars="19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4．</w:t>
      </w:r>
      <w:r>
        <w:rPr>
          <w:rFonts w:ascii="宋体" w:hAnsi="宋体"/>
          <w:b/>
          <w:sz w:val="24"/>
        </w:rPr>
        <w:t>突出现代</w:t>
      </w:r>
      <w:r>
        <w:rPr>
          <w:rFonts w:hint="eastAsia" w:ascii="宋体" w:hAnsi="宋体"/>
          <w:b/>
          <w:sz w:val="24"/>
        </w:rPr>
        <w:t>国际商务</w:t>
      </w:r>
      <w:r>
        <w:rPr>
          <w:rFonts w:ascii="宋体" w:hAnsi="宋体"/>
          <w:b/>
          <w:sz w:val="24"/>
        </w:rPr>
        <w:t>特色。</w:t>
      </w:r>
      <w:r>
        <w:rPr>
          <w:rFonts w:ascii="宋体" w:hAnsi="宋体"/>
          <w:sz w:val="24"/>
        </w:rPr>
        <w:t>课程设置中在强调传统</w:t>
      </w:r>
      <w:r>
        <w:rPr>
          <w:rFonts w:hint="eastAsia" w:ascii="宋体" w:hAnsi="宋体"/>
          <w:sz w:val="24"/>
        </w:rPr>
        <w:t>国际商务</w:t>
      </w:r>
      <w:r>
        <w:rPr>
          <w:rFonts w:ascii="宋体" w:hAnsi="宋体"/>
          <w:sz w:val="24"/>
        </w:rPr>
        <w:t>专业知识的同时，</w:t>
      </w:r>
      <w:r>
        <w:rPr>
          <w:rFonts w:hint="eastAsia" w:ascii="宋体" w:hAnsi="宋体"/>
          <w:sz w:val="24"/>
        </w:rPr>
        <w:t>着眼于目前国际商务的发展，</w:t>
      </w:r>
      <w:r>
        <w:rPr>
          <w:rFonts w:ascii="宋体" w:hAnsi="宋体"/>
          <w:sz w:val="24"/>
        </w:rPr>
        <w:t>设置了</w:t>
      </w:r>
      <w:r>
        <w:rPr>
          <w:rFonts w:hint="eastAsia" w:ascii="宋体" w:hAnsi="宋体"/>
          <w:sz w:val="24"/>
        </w:rPr>
        <w:t>国际物流等前沿课程，契合现代国际商务的发展模式和实战需要。</w:t>
      </w:r>
    </w:p>
    <w:p w14:paraId="2871BBC1">
      <w:pPr>
        <w:pStyle w:val="36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四、核心课程</w:t>
      </w:r>
    </w:p>
    <w:p w14:paraId="1AD9B44E"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国际商务、国际市场营销、国际零售管理、商务谈判、经济学原理、国际商法（双语）、国际贸易、国际金融学（双语）、国际物流、消费者行为学（双语）、国际税收（双语）、国际结算（双语）、客户关系管理（英语）、国际商务礼仪、统计学、会计学、财务管理学、运营管理、企业资源规划（ERP）、供应链管理等。</w:t>
      </w:r>
    </w:p>
    <w:p w14:paraId="3FE4A984">
      <w:pPr>
        <w:pStyle w:val="36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五、学制和学位</w:t>
      </w:r>
    </w:p>
    <w:p w14:paraId="6622B7C6"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 w14:paraId="3D681992">
      <w:pPr>
        <w:pStyle w:val="36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六、学分一览表</w:t>
      </w:r>
    </w:p>
    <w:p w14:paraId="200C7F0E"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14"/>
        <w:tblW w:w="86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96"/>
        <w:gridCol w:w="709"/>
        <w:gridCol w:w="1407"/>
        <w:gridCol w:w="1428"/>
      </w:tblGrid>
      <w:tr w14:paraId="0875D5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4D72D0DC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5A39116A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13CC08A0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</w:t>
            </w:r>
            <w:r>
              <w:rPr>
                <w:b/>
                <w:kern w:val="0"/>
                <w:szCs w:val="21"/>
              </w:rPr>
              <w:t>（%）</w:t>
            </w:r>
          </w:p>
        </w:tc>
      </w:tr>
      <w:tr w14:paraId="20D5B7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5298E6DD">
            <w:pPr>
              <w:widowControl/>
              <w:jc w:val="center"/>
              <w:rPr>
                <w:rFonts w:hint="eastAsia" w:eastAsia="宋体"/>
                <w:kern w:val="0"/>
                <w:szCs w:val="21"/>
                <w:lang w:val="en-US" w:eastAsia="zh-CN"/>
              </w:rPr>
            </w:pPr>
            <w:r>
              <w:rPr>
                <w:kern w:val="0"/>
                <w:szCs w:val="21"/>
              </w:rPr>
              <w:t>15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239695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008490FC">
            <w:pPr>
              <w:widowControl/>
              <w:jc w:val="center"/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5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F2CEEBB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理论教学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9EF7D6F">
            <w:pPr>
              <w:widowControl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12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9BA836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 w14:paraId="6F9DACF1">
            <w:pPr>
              <w:widowControl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7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6</w:t>
            </w:r>
          </w:p>
        </w:tc>
      </w:tr>
      <w:tr w14:paraId="3CCFF0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47AC96B6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5B5D3DB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E4A78C5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B3A501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实验教学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3439CE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23ADDF6D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</w:tcPr>
          <w:p w14:paraId="13EE91F1">
            <w:pPr>
              <w:widowControl/>
              <w:jc w:val="center"/>
              <w:rPr>
                <w:kern w:val="0"/>
                <w:szCs w:val="21"/>
              </w:rPr>
            </w:pPr>
          </w:p>
          <w:p w14:paraId="51EC104C">
            <w:pPr>
              <w:widowControl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4</w:t>
            </w:r>
          </w:p>
        </w:tc>
      </w:tr>
      <w:tr w14:paraId="638999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3DA085F3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696FFEE0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61BEBB39">
            <w:pPr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96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5B277E7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实习、军训等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723904E9">
            <w:pPr>
              <w:widowControl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0C795DC2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332C1605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</w:tbl>
    <w:p w14:paraId="5C68E756">
      <w:pPr>
        <w:pStyle w:val="36"/>
        <w:widowControl/>
        <w:ind w:firstLineChars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</w:p>
    <w:p w14:paraId="433A73BE"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课堂教学学时分配表</w:t>
      </w:r>
    </w:p>
    <w:tbl>
      <w:tblPr>
        <w:tblStyle w:val="14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 w14:paraId="0B92F3D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445705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2FB5EA3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14:paraId="60B9C8C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 w14:paraId="496C0BC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14:paraId="333A67E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比例（%）</w:t>
            </w:r>
          </w:p>
        </w:tc>
      </w:tr>
      <w:tr w14:paraId="5B79905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5810F14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26CC85F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t>22</w:t>
            </w:r>
          </w:p>
        </w:tc>
        <w:tc>
          <w:tcPr>
            <w:tcW w:w="1440" w:type="dxa"/>
          </w:tcPr>
          <w:p w14:paraId="4B8E3DD6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t>9</w:t>
            </w:r>
            <w:r>
              <w:rPr>
                <w:rFonts w:hint="eastAsia"/>
                <w:lang w:val="en-US" w:eastAsia="zh-CN"/>
              </w:rPr>
              <w:t>32</w:t>
            </w:r>
          </w:p>
        </w:tc>
        <w:tc>
          <w:tcPr>
            <w:tcW w:w="1647" w:type="dxa"/>
            <w:gridSpan w:val="2"/>
          </w:tcPr>
          <w:p w14:paraId="05426C8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848" w:type="dxa"/>
            <w:vAlign w:val="bottom"/>
          </w:tcPr>
          <w:p w14:paraId="65052E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41.09</w:t>
            </w:r>
          </w:p>
        </w:tc>
      </w:tr>
      <w:tr w14:paraId="4994386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09FA262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09D6A75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440" w:type="dxa"/>
          </w:tcPr>
          <w:p w14:paraId="1FD2917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448</w:t>
            </w:r>
          </w:p>
        </w:tc>
        <w:tc>
          <w:tcPr>
            <w:tcW w:w="1647" w:type="dxa"/>
            <w:gridSpan w:val="2"/>
          </w:tcPr>
          <w:p w14:paraId="570F696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t>28</w:t>
            </w:r>
          </w:p>
        </w:tc>
        <w:tc>
          <w:tcPr>
            <w:tcW w:w="1848" w:type="dxa"/>
            <w:vAlign w:val="bottom"/>
          </w:tcPr>
          <w:p w14:paraId="58AF6A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21.71</w:t>
            </w:r>
          </w:p>
        </w:tc>
      </w:tr>
      <w:tr w14:paraId="213B5A7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7C8B27B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专业核心课</w:t>
            </w:r>
          </w:p>
        </w:tc>
        <w:tc>
          <w:tcPr>
            <w:tcW w:w="1620" w:type="dxa"/>
          </w:tcPr>
          <w:p w14:paraId="0ADFCA0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440" w:type="dxa"/>
          </w:tcPr>
          <w:p w14:paraId="009797C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272</w:t>
            </w:r>
          </w:p>
        </w:tc>
        <w:tc>
          <w:tcPr>
            <w:tcW w:w="1647" w:type="dxa"/>
            <w:gridSpan w:val="2"/>
          </w:tcPr>
          <w:p w14:paraId="7990022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t>17</w:t>
            </w:r>
          </w:p>
        </w:tc>
        <w:tc>
          <w:tcPr>
            <w:tcW w:w="1848" w:type="dxa"/>
            <w:vAlign w:val="bottom"/>
          </w:tcPr>
          <w:p w14:paraId="3B59B1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13.18</w:t>
            </w:r>
          </w:p>
        </w:tc>
      </w:tr>
      <w:tr w14:paraId="10F4302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241013B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0AF18F3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 w14:paraId="1C49354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033B64F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848" w:type="dxa"/>
            <w:vAlign w:val="bottom"/>
          </w:tcPr>
          <w:p w14:paraId="414B12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7.75</w:t>
            </w:r>
          </w:p>
        </w:tc>
      </w:tr>
      <w:tr w14:paraId="132A0EA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restart"/>
          </w:tcPr>
          <w:p w14:paraId="648E5B3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个性教育</w:t>
            </w:r>
          </w:p>
        </w:tc>
        <w:tc>
          <w:tcPr>
            <w:tcW w:w="941" w:type="dxa"/>
          </w:tcPr>
          <w:p w14:paraId="085153B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专业提升课</w:t>
            </w:r>
          </w:p>
        </w:tc>
        <w:tc>
          <w:tcPr>
            <w:tcW w:w="1620" w:type="dxa"/>
          </w:tcPr>
          <w:p w14:paraId="4D51555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 w14:paraId="7F56ADC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823" w:type="dxa"/>
          </w:tcPr>
          <w:p w14:paraId="5207D36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≥</w:t>
            </w:r>
            <w:r>
              <w:t>17</w:t>
            </w:r>
          </w:p>
        </w:tc>
        <w:tc>
          <w:tcPr>
            <w:tcW w:w="824" w:type="dxa"/>
            <w:vMerge w:val="restart"/>
          </w:tcPr>
          <w:p w14:paraId="77C0B6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848" w:type="dxa"/>
            <w:vMerge w:val="restart"/>
          </w:tcPr>
          <w:p w14:paraId="772E7035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等线"/>
                <w:szCs w:val="21"/>
                <w:lang w:val="en-US" w:eastAsia="zh-CN"/>
              </w:rPr>
            </w:pP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16.</w:t>
            </w:r>
            <w:r>
              <w:rPr>
                <w:rFonts w:hint="eastAsia" w:ascii="等线" w:hAnsi="等线" w:eastAsia="等线"/>
                <w:color w:val="000000"/>
                <w:sz w:val="22"/>
                <w:szCs w:val="22"/>
                <w:lang w:val="en-US" w:eastAsia="zh-CN"/>
              </w:rPr>
              <w:t>28</w:t>
            </w:r>
          </w:p>
        </w:tc>
      </w:tr>
      <w:tr w14:paraId="031830C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continue"/>
          </w:tcPr>
          <w:p w14:paraId="328DBEB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41" w:type="dxa"/>
          </w:tcPr>
          <w:p w14:paraId="431DAA1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专业拓展课</w:t>
            </w:r>
          </w:p>
        </w:tc>
        <w:tc>
          <w:tcPr>
            <w:tcW w:w="1620" w:type="dxa"/>
          </w:tcPr>
          <w:p w14:paraId="7152F1A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 w14:paraId="1579E5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823" w:type="dxa"/>
          </w:tcPr>
          <w:p w14:paraId="15E3335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824" w:type="dxa"/>
            <w:vMerge w:val="continue"/>
          </w:tcPr>
          <w:p w14:paraId="4FFBF7C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8" w:type="dxa"/>
            <w:vMerge w:val="continue"/>
          </w:tcPr>
          <w:p w14:paraId="0526DA3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3A2BAAF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4A6F835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14:paraId="165F4E1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 w14:paraId="5660580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5FE33B31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t>1</w:t>
            </w:r>
            <w:r>
              <w:rPr>
                <w:rFonts w:hint="eastAsia"/>
                <w:lang w:val="en-US" w:eastAsia="zh-CN"/>
              </w:rPr>
              <w:t>30</w:t>
            </w:r>
            <w:bookmarkStart w:id="0" w:name="_GoBack"/>
            <w:bookmarkEnd w:id="0"/>
          </w:p>
        </w:tc>
        <w:tc>
          <w:tcPr>
            <w:tcW w:w="1848" w:type="dxa"/>
          </w:tcPr>
          <w:p w14:paraId="5C0CC2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t>100</w:t>
            </w:r>
          </w:p>
        </w:tc>
      </w:tr>
    </w:tbl>
    <w:p w14:paraId="7CEBC37F"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7E65D4B7"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14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 w14:paraId="6767B17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 w14:paraId="17D78BC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 w14:paraId="338FEAF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 w14:paraId="57F83C2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 w14:paraId="25D8F5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 w14:paraId="064F62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 w14:paraId="44BEA2E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学分</w:t>
            </w:r>
          </w:p>
        </w:tc>
      </w:tr>
      <w:tr w14:paraId="421988F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 w14:paraId="7534796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 w14:paraId="147AEEC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 w14:paraId="651B889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 w14:paraId="4DC42FF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 w14:paraId="4711C58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 w14:paraId="57F8576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615DB37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04B09FD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F8EEB0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5FFB1DF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14:paraId="2608F2F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49F3C7A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2165C1D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14:paraId="6A45788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14BF31F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5AC807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58000BA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1CD11E1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67792C9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3BDE41F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14:paraId="00ABC14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2CD4EAE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E74D93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599C285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0BC3537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14:paraId="50DC7E2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7959516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14:paraId="144ED7C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1F81A62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631557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 w14:paraId="476E51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165494A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0F4EFA8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030923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14:paraId="2450C16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7D53F44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素养提升类</w:t>
            </w:r>
          </w:p>
        </w:tc>
        <w:tc>
          <w:tcPr>
            <w:tcW w:w="2552" w:type="dxa"/>
          </w:tcPr>
          <w:p w14:paraId="7853C06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创新创业</w:t>
            </w:r>
          </w:p>
        </w:tc>
        <w:tc>
          <w:tcPr>
            <w:tcW w:w="1126" w:type="dxa"/>
          </w:tcPr>
          <w:p w14:paraId="07B6737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1E662F6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FA1545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5588E0E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61F0304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2BEBA24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3A50AD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5D25CA7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67CC0CF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4A234B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31E6E04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451F466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67DB2D4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思政育人类</w:t>
            </w:r>
          </w:p>
        </w:tc>
        <w:tc>
          <w:tcPr>
            <w:tcW w:w="2552" w:type="dxa"/>
          </w:tcPr>
          <w:p w14:paraId="1D49A0F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  <w:vAlign w:val="center"/>
          </w:tcPr>
          <w:p w14:paraId="6849C99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191" w:type="dxa"/>
            <w:vAlign w:val="center"/>
          </w:tcPr>
          <w:p w14:paraId="0F6B4D5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092" w:type="dxa"/>
            <w:vAlign w:val="center"/>
          </w:tcPr>
          <w:p w14:paraId="65A1277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087" w:type="dxa"/>
          </w:tcPr>
          <w:p w14:paraId="293BE24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14:paraId="1256062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6DC2B67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7667448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  <w:vAlign w:val="center"/>
          </w:tcPr>
          <w:p w14:paraId="7C4CF89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191" w:type="dxa"/>
            <w:vAlign w:val="center"/>
          </w:tcPr>
          <w:p w14:paraId="4C21B83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092" w:type="dxa"/>
            <w:vAlign w:val="center"/>
          </w:tcPr>
          <w:p w14:paraId="42BE38F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087" w:type="dxa"/>
            <w:vAlign w:val="center"/>
          </w:tcPr>
          <w:p w14:paraId="0DC56DD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14:paraId="3A8CFDA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431F3D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432403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  <w:vAlign w:val="center"/>
          </w:tcPr>
          <w:p w14:paraId="1DE4870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191" w:type="dxa"/>
            <w:vAlign w:val="center"/>
          </w:tcPr>
          <w:p w14:paraId="7DD61F2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092" w:type="dxa"/>
            <w:vAlign w:val="center"/>
          </w:tcPr>
          <w:p w14:paraId="7DF0D38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087" w:type="dxa"/>
            <w:vAlign w:val="center"/>
          </w:tcPr>
          <w:p w14:paraId="1AB830A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14:paraId="16988C0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02E41EE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79AE48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马克思主义基本原理</w:t>
            </w:r>
          </w:p>
        </w:tc>
        <w:tc>
          <w:tcPr>
            <w:tcW w:w="1126" w:type="dxa"/>
            <w:vAlign w:val="center"/>
          </w:tcPr>
          <w:p w14:paraId="595A34E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191" w:type="dxa"/>
            <w:vAlign w:val="center"/>
          </w:tcPr>
          <w:p w14:paraId="31AE63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092" w:type="dxa"/>
            <w:vAlign w:val="center"/>
          </w:tcPr>
          <w:p w14:paraId="7FE7A8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087" w:type="dxa"/>
            <w:vAlign w:val="center"/>
          </w:tcPr>
          <w:p w14:paraId="5A25F8C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14:paraId="1AA72D6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0BA5BD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3424C2F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 w14:paraId="66406D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eastAsia="等线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 w14:paraId="69DD7A77">
            <w:pPr>
              <w:jc w:val="center"/>
              <w:rPr>
                <w:rFonts w:hint="eastAsia" w:eastAsia="等线"/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2578B95A">
            <w:pPr>
              <w:jc w:val="center"/>
              <w:rPr>
                <w:rFonts w:hint="eastAsia" w:eastAsia="等线"/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 w14:paraId="7C4C06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71B5805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2EE4F24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27E77E8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 w14:paraId="57DD5C9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eastAsia="等线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 w14:paraId="0AF0621A">
            <w:pPr>
              <w:jc w:val="center"/>
              <w:rPr>
                <w:rFonts w:hint="eastAsia" w:eastAsia="等线"/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3F342310">
            <w:pPr>
              <w:jc w:val="center"/>
              <w:rPr>
                <w:rFonts w:hint="eastAsia" w:eastAsia="等线"/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15E7935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77F5FE4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AFFF16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4BF174D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 w14:paraId="0367F0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eastAsia="等线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 w14:paraId="74A5AEBB">
            <w:pPr>
              <w:jc w:val="center"/>
              <w:rPr>
                <w:rFonts w:hint="eastAsia" w:eastAsia="等线"/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3A684A13">
            <w:pPr>
              <w:jc w:val="center"/>
              <w:rPr>
                <w:rFonts w:hint="eastAsia" w:eastAsia="等线"/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6492524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562C580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44334B8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35405F8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 w14:paraId="3CF2443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eastAsia="等线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 w14:paraId="3736E87D">
            <w:pPr>
              <w:jc w:val="center"/>
              <w:rPr>
                <w:rFonts w:hint="eastAsia" w:eastAsia="等线"/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6EEC4573">
            <w:pPr>
              <w:jc w:val="center"/>
              <w:rPr>
                <w:rFonts w:hint="eastAsia" w:eastAsia="等线"/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798D92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33CD29F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7B387A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6D94B8E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 w14:paraId="42896BF8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vAlign w:val="bottom"/>
          </w:tcPr>
          <w:p w14:paraId="0E010EE5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617CBFB8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 w14:paraId="238D9D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3E9C4E0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 w14:paraId="12A4C3B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14:paraId="17BED33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劳动类实践课程</w:t>
            </w:r>
          </w:p>
        </w:tc>
        <w:tc>
          <w:tcPr>
            <w:tcW w:w="1126" w:type="dxa"/>
            <w:vAlign w:val="center"/>
          </w:tcPr>
          <w:p w14:paraId="4DA4F11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191" w:type="dxa"/>
            <w:vAlign w:val="center"/>
          </w:tcPr>
          <w:p w14:paraId="65FB821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092" w:type="dxa"/>
            <w:vAlign w:val="center"/>
          </w:tcPr>
          <w:p w14:paraId="41FC52E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eastAsia="等线"/>
                <w:color w:val="000000"/>
                <w:szCs w:val="21"/>
              </w:rPr>
              <w:t>　</w:t>
            </w:r>
          </w:p>
        </w:tc>
        <w:tc>
          <w:tcPr>
            <w:tcW w:w="1087" w:type="dxa"/>
          </w:tcPr>
          <w:p w14:paraId="0E2927F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0034A04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2174DFF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14:paraId="25A3C90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计算机应用</w:t>
            </w:r>
          </w:p>
        </w:tc>
        <w:tc>
          <w:tcPr>
            <w:tcW w:w="1126" w:type="dxa"/>
          </w:tcPr>
          <w:p w14:paraId="68AD988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191" w:type="dxa"/>
          </w:tcPr>
          <w:p w14:paraId="0CD847B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7DDE08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7C65363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14:paraId="367748A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0152CC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8BC66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程序设计语言</w:t>
            </w:r>
          </w:p>
        </w:tc>
        <w:tc>
          <w:tcPr>
            <w:tcW w:w="1126" w:type="dxa"/>
          </w:tcPr>
          <w:p w14:paraId="304672C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14:paraId="317451A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9AA9E3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6C06DC0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14:paraId="53429A9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0191FF3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8EB9CB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程序设计语言（</w:t>
            </w:r>
            <w:r>
              <w:rPr>
                <w:szCs w:val="21"/>
              </w:rPr>
              <w:t>Python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126" w:type="dxa"/>
          </w:tcPr>
          <w:p w14:paraId="09D507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191" w:type="dxa"/>
          </w:tcPr>
          <w:p w14:paraId="346ACB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2A5818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7A77D57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14:paraId="29CFBFA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6027F98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F0E995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企业资源规划（ERP）</w:t>
            </w:r>
          </w:p>
        </w:tc>
        <w:tc>
          <w:tcPr>
            <w:tcW w:w="1126" w:type="dxa"/>
          </w:tcPr>
          <w:p w14:paraId="6CE0085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2F0AC6F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E69BB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6D5CAD4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14:paraId="1EA80BC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FE0EEA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3321A5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供应链管理</w:t>
            </w:r>
          </w:p>
        </w:tc>
        <w:tc>
          <w:tcPr>
            <w:tcW w:w="1126" w:type="dxa"/>
          </w:tcPr>
          <w:p w14:paraId="3EC779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0C2833A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844D04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1B8F418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14:paraId="0761178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1CB3984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3A59C4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管理</w:t>
            </w:r>
            <w:r>
              <w:rPr>
                <w:color w:val="000000" w:themeColor="text1"/>
                <w:szCs w:val="21"/>
              </w:rPr>
              <w:t>决策模拟</w:t>
            </w:r>
          </w:p>
        </w:tc>
        <w:tc>
          <w:tcPr>
            <w:tcW w:w="1126" w:type="dxa"/>
          </w:tcPr>
          <w:p w14:paraId="4460787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7845CC2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319884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32</w:t>
            </w:r>
          </w:p>
        </w:tc>
        <w:tc>
          <w:tcPr>
            <w:tcW w:w="1087" w:type="dxa"/>
          </w:tcPr>
          <w:p w14:paraId="40B955B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0F06961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2DB1994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6A2E3A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color w:val="000000" w:themeColor="text1"/>
                <w:szCs w:val="21"/>
              </w:rPr>
              <w:t>商务谈判</w:t>
            </w:r>
          </w:p>
        </w:tc>
        <w:tc>
          <w:tcPr>
            <w:tcW w:w="1126" w:type="dxa"/>
          </w:tcPr>
          <w:p w14:paraId="3021EAA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38FC2F0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0FEEF1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5F1B3A8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14:paraId="11229D1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178F32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5D8E81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客户关系管理（英语）</w:t>
            </w:r>
          </w:p>
        </w:tc>
        <w:tc>
          <w:tcPr>
            <w:tcW w:w="1126" w:type="dxa"/>
          </w:tcPr>
          <w:p w14:paraId="613B67A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 w14:paraId="17EC8F6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0041C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39C0A74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14:paraId="5B078AF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 w14:paraId="546FC82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14:paraId="1FC2A2C7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2ABBD006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7507627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14:paraId="378549A1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3</w:t>
            </w:r>
            <w:r>
              <w:rPr>
                <w:rFonts w:hint="eastAsia"/>
                <w:b/>
                <w:szCs w:val="21"/>
                <w:lang w:val="en-US" w:eastAsia="zh-CN"/>
              </w:rPr>
              <w:t>7</w:t>
            </w:r>
          </w:p>
        </w:tc>
      </w:tr>
    </w:tbl>
    <w:p w14:paraId="47BF40F9">
      <w:pPr>
        <w:pStyle w:val="36"/>
        <w:widowControl/>
        <w:spacing w:before="312" w:beforeLines="100"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七、本科学分制指导性教学计划表</w:t>
      </w:r>
    </w:p>
    <w:sectPr>
      <w:headerReference r:id="rId3" w:type="default"/>
      <w:footerReference r:id="rId5" w:type="default"/>
      <w:headerReference r:id="rId4" w:type="even"/>
      <w:pgSz w:w="11906" w:h="16838"/>
      <w:pgMar w:top="2098" w:right="1588" w:bottom="1985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35E090">
    <w:pPr>
      <w:pStyle w:val="8"/>
      <w:tabs>
        <w:tab w:val="right" w:pos="8080"/>
        <w:tab w:val="clear" w:pos="8306"/>
      </w:tabs>
      <w:ind w:right="231" w:rightChars="110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1 -</w:t>
    </w:r>
    <w:r>
      <w:rPr>
        <w:rFonts w:ascii="宋体" w:hAnsi="宋体"/>
        <w:sz w:val="28"/>
      </w:rPr>
      <w:fldChar w:fldCharType="end"/>
    </w:r>
  </w:p>
  <w:p w14:paraId="07587435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327DF2"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77F728"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diYTc4MDUxNmI5NDRkN2E0MTUyN2RhMjVjN2JlNzAifQ=="/>
  </w:docVars>
  <w:rsids>
    <w:rsidRoot w:val="00E76617"/>
    <w:rsid w:val="000112B9"/>
    <w:rsid w:val="00013E75"/>
    <w:rsid w:val="000155D3"/>
    <w:rsid w:val="0002547F"/>
    <w:rsid w:val="00026947"/>
    <w:rsid w:val="00037E10"/>
    <w:rsid w:val="0004465D"/>
    <w:rsid w:val="000520A8"/>
    <w:rsid w:val="00054E0C"/>
    <w:rsid w:val="00055CE2"/>
    <w:rsid w:val="00063E8A"/>
    <w:rsid w:val="00092AFE"/>
    <w:rsid w:val="000A038C"/>
    <w:rsid w:val="000A08CF"/>
    <w:rsid w:val="000A0E89"/>
    <w:rsid w:val="000A736B"/>
    <w:rsid w:val="000B5AFA"/>
    <w:rsid w:val="000B76F7"/>
    <w:rsid w:val="000C0638"/>
    <w:rsid w:val="000C1315"/>
    <w:rsid w:val="000D1860"/>
    <w:rsid w:val="001029EA"/>
    <w:rsid w:val="00110812"/>
    <w:rsid w:val="0012475A"/>
    <w:rsid w:val="00130579"/>
    <w:rsid w:val="00134294"/>
    <w:rsid w:val="0013493C"/>
    <w:rsid w:val="00145AEC"/>
    <w:rsid w:val="00150905"/>
    <w:rsid w:val="00152DBB"/>
    <w:rsid w:val="00156D96"/>
    <w:rsid w:val="0017652E"/>
    <w:rsid w:val="00190CBF"/>
    <w:rsid w:val="00192C34"/>
    <w:rsid w:val="001A0305"/>
    <w:rsid w:val="001C29C0"/>
    <w:rsid w:val="001C514D"/>
    <w:rsid w:val="001C5A36"/>
    <w:rsid w:val="001D1F39"/>
    <w:rsid w:val="001F0671"/>
    <w:rsid w:val="001F7B0A"/>
    <w:rsid w:val="001F7DA5"/>
    <w:rsid w:val="00202C8A"/>
    <w:rsid w:val="00223A40"/>
    <w:rsid w:val="00223FDB"/>
    <w:rsid w:val="00227AD7"/>
    <w:rsid w:val="00237084"/>
    <w:rsid w:val="00250EC0"/>
    <w:rsid w:val="00296398"/>
    <w:rsid w:val="002A0B1E"/>
    <w:rsid w:val="002B1FF3"/>
    <w:rsid w:val="002B6DF9"/>
    <w:rsid w:val="002C1FAF"/>
    <w:rsid w:val="002C666C"/>
    <w:rsid w:val="002D06C4"/>
    <w:rsid w:val="002E3064"/>
    <w:rsid w:val="002F133C"/>
    <w:rsid w:val="00301D77"/>
    <w:rsid w:val="00306A6A"/>
    <w:rsid w:val="00316B88"/>
    <w:rsid w:val="00320DAC"/>
    <w:rsid w:val="00321774"/>
    <w:rsid w:val="00322776"/>
    <w:rsid w:val="003242F5"/>
    <w:rsid w:val="003430BF"/>
    <w:rsid w:val="00352261"/>
    <w:rsid w:val="00352E9B"/>
    <w:rsid w:val="00367C8D"/>
    <w:rsid w:val="00384C35"/>
    <w:rsid w:val="00387EF3"/>
    <w:rsid w:val="00390CD4"/>
    <w:rsid w:val="00395C62"/>
    <w:rsid w:val="00396333"/>
    <w:rsid w:val="003A15F9"/>
    <w:rsid w:val="003A58E1"/>
    <w:rsid w:val="003A608E"/>
    <w:rsid w:val="003A7FE9"/>
    <w:rsid w:val="003B16FE"/>
    <w:rsid w:val="003D0870"/>
    <w:rsid w:val="003D489D"/>
    <w:rsid w:val="003E047E"/>
    <w:rsid w:val="003E5CE0"/>
    <w:rsid w:val="00411501"/>
    <w:rsid w:val="00454C74"/>
    <w:rsid w:val="00456152"/>
    <w:rsid w:val="004813A8"/>
    <w:rsid w:val="00483AFB"/>
    <w:rsid w:val="00483FA6"/>
    <w:rsid w:val="00491839"/>
    <w:rsid w:val="00497A87"/>
    <w:rsid w:val="004A6068"/>
    <w:rsid w:val="004A69F3"/>
    <w:rsid w:val="004B055B"/>
    <w:rsid w:val="004E03AF"/>
    <w:rsid w:val="004E0DB7"/>
    <w:rsid w:val="004E1CDA"/>
    <w:rsid w:val="004F48C7"/>
    <w:rsid w:val="005036F5"/>
    <w:rsid w:val="00520539"/>
    <w:rsid w:val="005318F1"/>
    <w:rsid w:val="00534CD2"/>
    <w:rsid w:val="00540656"/>
    <w:rsid w:val="00542676"/>
    <w:rsid w:val="00552725"/>
    <w:rsid w:val="00556A72"/>
    <w:rsid w:val="00563B8D"/>
    <w:rsid w:val="00565264"/>
    <w:rsid w:val="00567EF2"/>
    <w:rsid w:val="00572885"/>
    <w:rsid w:val="0058481F"/>
    <w:rsid w:val="005908AE"/>
    <w:rsid w:val="005A010B"/>
    <w:rsid w:val="005A105D"/>
    <w:rsid w:val="005A11A3"/>
    <w:rsid w:val="005A1A1C"/>
    <w:rsid w:val="005B0D6F"/>
    <w:rsid w:val="005B7A54"/>
    <w:rsid w:val="005C3215"/>
    <w:rsid w:val="005C5E70"/>
    <w:rsid w:val="005D6007"/>
    <w:rsid w:val="005E4878"/>
    <w:rsid w:val="00602DE8"/>
    <w:rsid w:val="006134B8"/>
    <w:rsid w:val="0062722F"/>
    <w:rsid w:val="00631827"/>
    <w:rsid w:val="00634483"/>
    <w:rsid w:val="00642DB8"/>
    <w:rsid w:val="0065294E"/>
    <w:rsid w:val="0065532D"/>
    <w:rsid w:val="006609E3"/>
    <w:rsid w:val="00674C1C"/>
    <w:rsid w:val="006A14A7"/>
    <w:rsid w:val="006B39E6"/>
    <w:rsid w:val="006B4B1A"/>
    <w:rsid w:val="006B5DED"/>
    <w:rsid w:val="006C16B5"/>
    <w:rsid w:val="006C1ACD"/>
    <w:rsid w:val="006C1D6D"/>
    <w:rsid w:val="006D0BA9"/>
    <w:rsid w:val="006D1EE2"/>
    <w:rsid w:val="006D7188"/>
    <w:rsid w:val="006E2B14"/>
    <w:rsid w:val="006E6A88"/>
    <w:rsid w:val="00706A73"/>
    <w:rsid w:val="00711F22"/>
    <w:rsid w:val="007121D1"/>
    <w:rsid w:val="00712601"/>
    <w:rsid w:val="00713738"/>
    <w:rsid w:val="00734BD5"/>
    <w:rsid w:val="00740284"/>
    <w:rsid w:val="00765C5C"/>
    <w:rsid w:val="007779CF"/>
    <w:rsid w:val="00781BDC"/>
    <w:rsid w:val="00785831"/>
    <w:rsid w:val="00790ADE"/>
    <w:rsid w:val="007A455D"/>
    <w:rsid w:val="007C3BCB"/>
    <w:rsid w:val="007C436D"/>
    <w:rsid w:val="007C52EC"/>
    <w:rsid w:val="007D0FE8"/>
    <w:rsid w:val="007D119F"/>
    <w:rsid w:val="007D58C7"/>
    <w:rsid w:val="007E6304"/>
    <w:rsid w:val="007F255F"/>
    <w:rsid w:val="0080296D"/>
    <w:rsid w:val="0080777F"/>
    <w:rsid w:val="00812EB9"/>
    <w:rsid w:val="00817841"/>
    <w:rsid w:val="008262E1"/>
    <w:rsid w:val="00830DAC"/>
    <w:rsid w:val="0083383B"/>
    <w:rsid w:val="00850AA5"/>
    <w:rsid w:val="00863730"/>
    <w:rsid w:val="008808E7"/>
    <w:rsid w:val="00885B22"/>
    <w:rsid w:val="00896FEA"/>
    <w:rsid w:val="008B1DE5"/>
    <w:rsid w:val="008B3992"/>
    <w:rsid w:val="008B53AA"/>
    <w:rsid w:val="008C0F2B"/>
    <w:rsid w:val="008D3B5F"/>
    <w:rsid w:val="008D538F"/>
    <w:rsid w:val="008E25E1"/>
    <w:rsid w:val="008F0DCF"/>
    <w:rsid w:val="008F4F59"/>
    <w:rsid w:val="009152D7"/>
    <w:rsid w:val="00920A81"/>
    <w:rsid w:val="00920E68"/>
    <w:rsid w:val="009347CA"/>
    <w:rsid w:val="009364ED"/>
    <w:rsid w:val="00953880"/>
    <w:rsid w:val="00956842"/>
    <w:rsid w:val="00962BE1"/>
    <w:rsid w:val="00966F46"/>
    <w:rsid w:val="00972E7F"/>
    <w:rsid w:val="0098194A"/>
    <w:rsid w:val="00985AAC"/>
    <w:rsid w:val="00986BC9"/>
    <w:rsid w:val="009916FE"/>
    <w:rsid w:val="0099588D"/>
    <w:rsid w:val="009A255A"/>
    <w:rsid w:val="009A2E6F"/>
    <w:rsid w:val="009B0300"/>
    <w:rsid w:val="009B1534"/>
    <w:rsid w:val="009B4A8A"/>
    <w:rsid w:val="009B5138"/>
    <w:rsid w:val="009B617A"/>
    <w:rsid w:val="009C1343"/>
    <w:rsid w:val="009C2ED2"/>
    <w:rsid w:val="009E13A8"/>
    <w:rsid w:val="009E288A"/>
    <w:rsid w:val="009E30A2"/>
    <w:rsid w:val="009E51E2"/>
    <w:rsid w:val="009E728D"/>
    <w:rsid w:val="009F29F9"/>
    <w:rsid w:val="009F35A1"/>
    <w:rsid w:val="00A01CA6"/>
    <w:rsid w:val="00A05D4B"/>
    <w:rsid w:val="00A1065A"/>
    <w:rsid w:val="00A12A46"/>
    <w:rsid w:val="00A205CE"/>
    <w:rsid w:val="00A23C35"/>
    <w:rsid w:val="00A3321B"/>
    <w:rsid w:val="00A3463C"/>
    <w:rsid w:val="00A43C0D"/>
    <w:rsid w:val="00A44203"/>
    <w:rsid w:val="00A6091C"/>
    <w:rsid w:val="00A64877"/>
    <w:rsid w:val="00A657CB"/>
    <w:rsid w:val="00A71944"/>
    <w:rsid w:val="00A816FA"/>
    <w:rsid w:val="00A958D6"/>
    <w:rsid w:val="00A97770"/>
    <w:rsid w:val="00AA79CE"/>
    <w:rsid w:val="00AB3F90"/>
    <w:rsid w:val="00AB796F"/>
    <w:rsid w:val="00AC406E"/>
    <w:rsid w:val="00AC46B3"/>
    <w:rsid w:val="00AC4F7F"/>
    <w:rsid w:val="00AC6E3C"/>
    <w:rsid w:val="00AD0164"/>
    <w:rsid w:val="00AD17ED"/>
    <w:rsid w:val="00AE136F"/>
    <w:rsid w:val="00AE7DB4"/>
    <w:rsid w:val="00AF1508"/>
    <w:rsid w:val="00B00AA2"/>
    <w:rsid w:val="00B054C3"/>
    <w:rsid w:val="00B179F9"/>
    <w:rsid w:val="00B23B17"/>
    <w:rsid w:val="00B500FD"/>
    <w:rsid w:val="00B5417E"/>
    <w:rsid w:val="00B55A70"/>
    <w:rsid w:val="00B55ABD"/>
    <w:rsid w:val="00B635EC"/>
    <w:rsid w:val="00B74A2F"/>
    <w:rsid w:val="00B9577F"/>
    <w:rsid w:val="00BB48CC"/>
    <w:rsid w:val="00BC5AA7"/>
    <w:rsid w:val="00BD1C1D"/>
    <w:rsid w:val="00BD4EF7"/>
    <w:rsid w:val="00BE5A8F"/>
    <w:rsid w:val="00BE751F"/>
    <w:rsid w:val="00BF15C6"/>
    <w:rsid w:val="00C1113D"/>
    <w:rsid w:val="00C221A7"/>
    <w:rsid w:val="00C231EC"/>
    <w:rsid w:val="00C33961"/>
    <w:rsid w:val="00C36BFE"/>
    <w:rsid w:val="00C530E7"/>
    <w:rsid w:val="00C56728"/>
    <w:rsid w:val="00C66294"/>
    <w:rsid w:val="00C838DA"/>
    <w:rsid w:val="00C860B3"/>
    <w:rsid w:val="00C92B95"/>
    <w:rsid w:val="00CB2B97"/>
    <w:rsid w:val="00CF023F"/>
    <w:rsid w:val="00CF179F"/>
    <w:rsid w:val="00CF72F6"/>
    <w:rsid w:val="00D02884"/>
    <w:rsid w:val="00D110C7"/>
    <w:rsid w:val="00D1155A"/>
    <w:rsid w:val="00D1321B"/>
    <w:rsid w:val="00D14D8C"/>
    <w:rsid w:val="00D22841"/>
    <w:rsid w:val="00D349D9"/>
    <w:rsid w:val="00D517FB"/>
    <w:rsid w:val="00D55511"/>
    <w:rsid w:val="00D60EF4"/>
    <w:rsid w:val="00D94634"/>
    <w:rsid w:val="00D952A7"/>
    <w:rsid w:val="00DA0D47"/>
    <w:rsid w:val="00DA24D8"/>
    <w:rsid w:val="00DC16E7"/>
    <w:rsid w:val="00DD3BD1"/>
    <w:rsid w:val="00DD3D76"/>
    <w:rsid w:val="00DD5404"/>
    <w:rsid w:val="00DE3954"/>
    <w:rsid w:val="00DE76C3"/>
    <w:rsid w:val="00E51025"/>
    <w:rsid w:val="00E535A2"/>
    <w:rsid w:val="00E57448"/>
    <w:rsid w:val="00E602D7"/>
    <w:rsid w:val="00E615DF"/>
    <w:rsid w:val="00E64A13"/>
    <w:rsid w:val="00E64D6F"/>
    <w:rsid w:val="00E65822"/>
    <w:rsid w:val="00E668D5"/>
    <w:rsid w:val="00E70DF5"/>
    <w:rsid w:val="00E710D9"/>
    <w:rsid w:val="00E76617"/>
    <w:rsid w:val="00E92520"/>
    <w:rsid w:val="00E92B4D"/>
    <w:rsid w:val="00E96664"/>
    <w:rsid w:val="00EA1CD1"/>
    <w:rsid w:val="00EA3685"/>
    <w:rsid w:val="00EA7E36"/>
    <w:rsid w:val="00EE01E4"/>
    <w:rsid w:val="00EF0F29"/>
    <w:rsid w:val="00F01F82"/>
    <w:rsid w:val="00F101BF"/>
    <w:rsid w:val="00F105A1"/>
    <w:rsid w:val="00F11E9F"/>
    <w:rsid w:val="00F16A11"/>
    <w:rsid w:val="00F239B9"/>
    <w:rsid w:val="00F3266D"/>
    <w:rsid w:val="00F34A8A"/>
    <w:rsid w:val="00F4145E"/>
    <w:rsid w:val="00F414A2"/>
    <w:rsid w:val="00F4258B"/>
    <w:rsid w:val="00F60458"/>
    <w:rsid w:val="00F66D55"/>
    <w:rsid w:val="00FA7412"/>
    <w:rsid w:val="00FC32C6"/>
    <w:rsid w:val="00FC3F33"/>
    <w:rsid w:val="00FD22C1"/>
    <w:rsid w:val="00FD41BF"/>
    <w:rsid w:val="00FD58DF"/>
    <w:rsid w:val="00FD722B"/>
    <w:rsid w:val="00FE1156"/>
    <w:rsid w:val="00FF02FC"/>
    <w:rsid w:val="16AD569D"/>
    <w:rsid w:val="1E786D7F"/>
    <w:rsid w:val="347A1012"/>
    <w:rsid w:val="4EEC56FF"/>
    <w:rsid w:val="78FD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nhideWhenUsed="0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name="Hyperlink"/>
    <w:lsdException w:qFormat="1" w:unhideWhenUsed="0"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9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31"/>
    <w:qFormat/>
    <w:uiPriority w:val="99"/>
    <w:pPr>
      <w:keepNext/>
      <w:keepLines/>
      <w:outlineLvl w:val="1"/>
    </w:pPr>
    <w:rPr>
      <w:rFonts w:ascii="Cambria" w:hAnsi="Cambria" w:eastAsia="仿宋"/>
      <w:b/>
      <w:bCs/>
      <w:sz w:val="30"/>
      <w:szCs w:val="32"/>
    </w:rPr>
  </w:style>
  <w:style w:type="character" w:default="1" w:styleId="16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2"/>
    <w:semiHidden/>
    <w:uiPriority w:val="99"/>
    <w:pPr>
      <w:jc w:val="left"/>
    </w:pPr>
    <w:rPr>
      <w:szCs w:val="21"/>
    </w:rPr>
  </w:style>
  <w:style w:type="paragraph" w:styleId="5">
    <w:name w:val="Body Text Indent"/>
    <w:basedOn w:val="1"/>
    <w:link w:val="97"/>
    <w:semiHidden/>
    <w:uiPriority w:val="99"/>
    <w:pPr>
      <w:spacing w:line="360" w:lineRule="auto"/>
      <w:ind w:firstLine="480" w:firstLineChars="200"/>
    </w:pPr>
    <w:rPr>
      <w:sz w:val="24"/>
    </w:rPr>
  </w:style>
  <w:style w:type="paragraph" w:styleId="6">
    <w:name w:val="Body Text Indent 2"/>
    <w:basedOn w:val="1"/>
    <w:link w:val="29"/>
    <w:uiPriority w:val="0"/>
    <w:pPr>
      <w:ind w:firstLine="560" w:firstLineChars="200"/>
    </w:pPr>
    <w:rPr>
      <w:sz w:val="28"/>
      <w:szCs w:val="20"/>
    </w:rPr>
  </w:style>
  <w:style w:type="paragraph" w:styleId="7">
    <w:name w:val="Balloon Text"/>
    <w:basedOn w:val="1"/>
    <w:link w:val="33"/>
    <w:semiHidden/>
    <w:uiPriority w:val="99"/>
    <w:rPr>
      <w:sz w:val="18"/>
      <w:szCs w:val="18"/>
    </w:rPr>
  </w:style>
  <w:style w:type="paragraph" w:styleId="8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9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0">
    <w:name w:val="footnote text"/>
    <w:basedOn w:val="1"/>
    <w:link w:val="98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TML Preformatted"/>
    <w:basedOn w:val="1"/>
    <w:link w:val="25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12">
    <w:name w:val="Normal (Web)"/>
    <w:basedOn w:val="1"/>
    <w:qFormat/>
    <w:uiPriority w:val="0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13">
    <w:name w:val="annotation subject"/>
    <w:basedOn w:val="4"/>
    <w:next w:val="4"/>
    <w:link w:val="35"/>
    <w:semiHidden/>
    <w:qFormat/>
    <w:uiPriority w:val="99"/>
    <w:rPr>
      <w:b/>
      <w:bCs/>
    </w:rPr>
  </w:style>
  <w:style w:type="table" w:styleId="15">
    <w:name w:val="Table Grid"/>
    <w:basedOn w:val="14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7">
    <w:name w:val="Strong"/>
    <w:qFormat/>
    <w:uiPriority w:val="99"/>
    <w:rPr>
      <w:b/>
      <w:bCs/>
    </w:rPr>
  </w:style>
  <w:style w:type="character" w:styleId="18">
    <w:name w:val="page number"/>
    <w:qFormat/>
    <w:uiPriority w:val="99"/>
    <w:rPr>
      <w:rFonts w:cs="Times New Roman"/>
    </w:rPr>
  </w:style>
  <w:style w:type="character" w:styleId="19">
    <w:name w:val="FollowedHyperlink"/>
    <w:semiHidden/>
    <w:qFormat/>
    <w:uiPriority w:val="99"/>
    <w:rPr>
      <w:rFonts w:cs="Times New Roman"/>
      <w:color w:val="800080"/>
      <w:u w:val="single"/>
    </w:rPr>
  </w:style>
  <w:style w:type="character" w:styleId="20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99"/>
    <w:rPr>
      <w:rFonts w:cs="Times New Roman"/>
      <w:sz w:val="21"/>
      <w:szCs w:val="21"/>
    </w:rPr>
  </w:style>
  <w:style w:type="character" w:styleId="22">
    <w:name w:val="footnote reference"/>
    <w:semiHidden/>
    <w:unhideWhenUsed/>
    <w:qFormat/>
    <w:uiPriority w:val="99"/>
    <w:rPr>
      <w:vertAlign w:val="superscript"/>
    </w:rPr>
  </w:style>
  <w:style w:type="character" w:customStyle="1" w:styleId="23">
    <w:name w:val="页眉 字符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页脚 字符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HTML 预设格式 字符"/>
    <w:link w:val="11"/>
    <w:qFormat/>
    <w:uiPriority w:val="0"/>
    <w:rPr>
      <w:rFonts w:ascii="宋体" w:hAnsi="宋体" w:cs="宋体"/>
      <w:sz w:val="24"/>
      <w:szCs w:val="24"/>
    </w:rPr>
  </w:style>
  <w:style w:type="character" w:customStyle="1" w:styleId="26">
    <w:name w:val="HTML 预设格式 Char1"/>
    <w:semiHidden/>
    <w:qFormat/>
    <w:uiPriority w:val="99"/>
    <w:rPr>
      <w:rFonts w:ascii="Courier New" w:hAnsi="Courier New" w:cs="Courier New"/>
      <w:kern w:val="2"/>
    </w:rPr>
  </w:style>
  <w:style w:type="paragraph" w:customStyle="1" w:styleId="27">
    <w:name w:val="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customStyle="1" w:styleId="28">
    <w:name w:val="html_txt1"/>
    <w:qFormat/>
    <w:uiPriority w:val="0"/>
    <w:rPr>
      <w:color w:val="000000"/>
    </w:rPr>
  </w:style>
  <w:style w:type="character" w:customStyle="1" w:styleId="29">
    <w:name w:val="正文文本缩进 2 字符"/>
    <w:link w:val="6"/>
    <w:qFormat/>
    <w:uiPriority w:val="0"/>
    <w:rPr>
      <w:rFonts w:ascii="Times New Roman" w:hAnsi="Times New Roman"/>
      <w:kern w:val="2"/>
      <w:sz w:val="28"/>
    </w:rPr>
  </w:style>
  <w:style w:type="character" w:customStyle="1" w:styleId="30">
    <w:name w:val="标题 1 字符"/>
    <w:link w:val="2"/>
    <w:qFormat/>
    <w:uiPriority w:val="99"/>
    <w:rPr>
      <w:rFonts w:ascii="Times New Roman" w:hAnsi="Times New Roman" w:eastAsia="仿宋"/>
      <w:b/>
      <w:bCs/>
      <w:kern w:val="44"/>
      <w:sz w:val="32"/>
      <w:szCs w:val="44"/>
    </w:rPr>
  </w:style>
  <w:style w:type="character" w:customStyle="1" w:styleId="31">
    <w:name w:val="标题 2 字符"/>
    <w:link w:val="3"/>
    <w:qFormat/>
    <w:uiPriority w:val="99"/>
    <w:rPr>
      <w:rFonts w:ascii="Cambria" w:hAnsi="Cambria" w:eastAsia="仿宋"/>
      <w:b/>
      <w:bCs/>
      <w:kern w:val="2"/>
      <w:sz w:val="30"/>
      <w:szCs w:val="32"/>
    </w:rPr>
  </w:style>
  <w:style w:type="character" w:customStyle="1" w:styleId="32">
    <w:name w:val="批注文字 字符"/>
    <w:link w:val="4"/>
    <w:semiHidden/>
    <w:qFormat/>
    <w:uiPriority w:val="99"/>
    <w:rPr>
      <w:rFonts w:ascii="Times New Roman" w:hAnsi="Times New Roman"/>
      <w:kern w:val="2"/>
      <w:sz w:val="21"/>
      <w:szCs w:val="21"/>
    </w:rPr>
  </w:style>
  <w:style w:type="character" w:customStyle="1" w:styleId="33">
    <w:name w:val="批注框文本 字符"/>
    <w:link w:val="7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34">
    <w:name w:val="No Spacing1"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5">
    <w:name w:val="批注主题 字符"/>
    <w:link w:val="13"/>
    <w:semiHidden/>
    <w:uiPriority w:val="99"/>
    <w:rPr>
      <w:rFonts w:ascii="Times New Roman" w:hAnsi="Times New Roman"/>
      <w:b/>
      <w:bCs/>
      <w:kern w:val="2"/>
      <w:sz w:val="21"/>
      <w:szCs w:val="21"/>
    </w:rPr>
  </w:style>
  <w:style w:type="paragraph" w:styleId="36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paragraph" w:customStyle="1" w:styleId="37">
    <w:name w:val="font5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8">
    <w:name w:val="font6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7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0">
    <w:name w:val="font8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1">
    <w:name w:val="font9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10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font11"/>
    <w:basedOn w:val="1"/>
    <w:uiPriority w:val="99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44">
    <w:name w:val="font12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45">
    <w:name w:val="font13"/>
    <w:basedOn w:val="1"/>
    <w:uiPriority w:val="99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46">
    <w:name w:val="font14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7">
    <w:name w:val="font15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48">
    <w:name w:val="font16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9">
    <w:name w:val="font17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50">
    <w:name w:val="xl63"/>
    <w:basedOn w:val="1"/>
    <w:uiPriority w:val="99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51">
    <w:name w:val="xl64"/>
    <w:basedOn w:val="1"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52">
    <w:name w:val="xl65"/>
    <w:basedOn w:val="1"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3">
    <w:name w:val="xl66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4">
    <w:name w:val="xl67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5">
    <w:name w:val="xl68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56">
    <w:name w:val="xl69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7">
    <w:name w:val="xl70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8">
    <w:name w:val="xl71"/>
    <w:basedOn w:val="1"/>
    <w:uiPriority w:val="99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9">
    <w:name w:val="xl72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0">
    <w:name w:val="xl73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1">
    <w:name w:val="xl74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62">
    <w:name w:val="xl75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3">
    <w:name w:val="xl76"/>
    <w:basedOn w:val="1"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4">
    <w:name w:val="xl77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5">
    <w:name w:val="xl78"/>
    <w:basedOn w:val="1"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6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7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8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9">
    <w:name w:val="xl8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70">
    <w:name w:val="xl8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1">
    <w:name w:val="xl84"/>
    <w:basedOn w:val="1"/>
    <w:qFormat/>
    <w:uiPriority w:val="99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2">
    <w:name w:val="xl85"/>
    <w:basedOn w:val="1"/>
    <w:qFormat/>
    <w:uiPriority w:val="99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3">
    <w:name w:val="xl86"/>
    <w:basedOn w:val="1"/>
    <w:qFormat/>
    <w:uiPriority w:val="99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4">
    <w:name w:val="xl87"/>
    <w:basedOn w:val="1"/>
    <w:qFormat/>
    <w:uiPriority w:val="99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5">
    <w:name w:val="xl88"/>
    <w:basedOn w:val="1"/>
    <w:qFormat/>
    <w:uiPriority w:val="99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6">
    <w:name w:val="xl89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7">
    <w:name w:val="xl9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8">
    <w:name w:val="xl91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9">
    <w:name w:val="xl92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0">
    <w:name w:val="xl9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1">
    <w:name w:val="xl94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2">
    <w:name w:val="xl95"/>
    <w:basedOn w:val="1"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3">
    <w:name w:val="xl9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4">
    <w:name w:val="xl97"/>
    <w:basedOn w:val="1"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5">
    <w:name w:val="xl98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6">
    <w:name w:val="xl9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87">
    <w:name w:val="xl100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8">
    <w:name w:val="xl10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9">
    <w:name w:val="xl102"/>
    <w:basedOn w:val="1"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0">
    <w:name w:val="xl103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1">
    <w:name w:val="xl10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2">
    <w:name w:val="xl105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3">
    <w:name w:val="xl106"/>
    <w:basedOn w:val="1"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4">
    <w:name w:val="xl107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95">
    <w:name w:val="xl108"/>
    <w:basedOn w:val="1"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96">
    <w:name w:val="long_text1"/>
    <w:qFormat/>
    <w:uiPriority w:val="99"/>
    <w:rPr>
      <w:rFonts w:cs="Times New Roman"/>
      <w:sz w:val="20"/>
      <w:szCs w:val="20"/>
    </w:rPr>
  </w:style>
  <w:style w:type="character" w:customStyle="1" w:styleId="97">
    <w:name w:val="正文文本缩进 字符"/>
    <w:link w:val="5"/>
    <w:semiHidden/>
    <w:qFormat/>
    <w:uiPriority w:val="99"/>
    <w:rPr>
      <w:rFonts w:ascii="Times New Roman" w:hAnsi="Times New Roman"/>
      <w:kern w:val="2"/>
      <w:sz w:val="24"/>
      <w:szCs w:val="24"/>
    </w:rPr>
  </w:style>
  <w:style w:type="character" w:customStyle="1" w:styleId="98">
    <w:name w:val="脚注文本 字符"/>
    <w:link w:val="10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99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C924D-3FC0-44CD-8209-928F834C7E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2103</Words>
  <Characters>2195</Characters>
  <Lines>17</Lines>
  <Paragraphs>4</Paragraphs>
  <TotalTime>1</TotalTime>
  <ScaleCrop>false</ScaleCrop>
  <LinksUpToDate>false</LinksUpToDate>
  <CharactersWithSpaces>2219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2021-03-28T09:45:00Z</dcterms:created>
  <dc:creator>user</dc:creator>
  <cp:lastModifiedBy>sheep</cp:lastModifiedBy>
  <cp:lastPrinted>2017-01-05T01:58:00Z</cp:lastPrinted>
  <dcterms:modified xsi:type="dcterms:W3CDTF">2024-10-09T08:19:42Z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D1D649C24C1E408084A623F306CF4BF9</vt:lpwstr>
  </property>
</Properties>
</file>