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财政学专业（辅修）本科人才培养方案</w:t>
      </w:r>
    </w:p>
    <w:p>
      <w:pPr>
        <w:spacing w:after="312" w:afterLines="100" w:line="360" w:lineRule="auto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（专业代码 020201K）</w:t>
      </w:r>
    </w:p>
    <w:p>
      <w:pPr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一、培养目标</w:t>
      </w:r>
    </w:p>
    <w:p>
      <w:pPr>
        <w:spacing w:line="360" w:lineRule="auto"/>
        <w:ind w:firstLine="480" w:firstLineChars="200"/>
        <w:rPr>
          <w:rFonts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本专业本着</w:t>
      </w:r>
      <w:r>
        <w:rPr>
          <w:rFonts w:asciiTheme="minorEastAsia" w:hAnsiTheme="minorEastAsia" w:eastAsiaTheme="minorEastAsia"/>
          <w:sz w:val="24"/>
        </w:rPr>
        <w:t>“</w:t>
      </w:r>
      <w:r>
        <w:rPr>
          <w:rFonts w:hint="eastAsia" w:asciiTheme="minorEastAsia" w:hAnsiTheme="minorEastAsia" w:eastAsiaTheme="minorEastAsia"/>
          <w:sz w:val="24"/>
        </w:rPr>
        <w:t>宽口径</w:t>
      </w:r>
      <w:r>
        <w:rPr>
          <w:rFonts w:asciiTheme="minorEastAsia" w:hAnsiTheme="minorEastAsia" w:eastAsiaTheme="minorEastAsia"/>
          <w:sz w:val="24"/>
        </w:rPr>
        <w:t>、厚基础”</w:t>
      </w:r>
      <w:r>
        <w:rPr>
          <w:rFonts w:hint="eastAsia" w:asciiTheme="minorEastAsia" w:hAnsiTheme="minorEastAsia" w:eastAsiaTheme="minorEastAsia"/>
          <w:sz w:val="24"/>
        </w:rPr>
        <w:t>的</w:t>
      </w:r>
      <w:r>
        <w:rPr>
          <w:rFonts w:asciiTheme="minorEastAsia" w:hAnsiTheme="minorEastAsia" w:eastAsiaTheme="minorEastAsia"/>
          <w:sz w:val="24"/>
        </w:rPr>
        <w:t>人才培养要求，</w:t>
      </w:r>
      <w:r>
        <w:rPr>
          <w:rFonts w:hint="eastAsia" w:asciiTheme="minorEastAsia" w:hAnsiTheme="minorEastAsia" w:eastAsiaTheme="minorEastAsia"/>
          <w:sz w:val="24"/>
        </w:rPr>
        <w:t>培养具有正确社会主义核</w:t>
      </w:r>
      <w:r>
        <w:rPr>
          <w:rFonts w:hint="eastAsia" w:ascii="宋体" w:hAnsi="宋体"/>
          <w:kern w:val="0"/>
          <w:sz w:val="24"/>
        </w:rPr>
        <w:t>心价值观，适应现代经济和社会发展需要，德智体美劳全面发展，具有国际视野与创新精神，系统</w:t>
      </w:r>
      <w:r>
        <w:rPr>
          <w:rFonts w:ascii="宋体" w:hAnsi="宋体"/>
          <w:kern w:val="0"/>
          <w:sz w:val="24"/>
        </w:rPr>
        <w:t>、全面</w:t>
      </w:r>
      <w:r>
        <w:rPr>
          <w:rFonts w:hint="eastAsia" w:ascii="宋体" w:hAnsi="宋体"/>
          <w:kern w:val="0"/>
          <w:sz w:val="24"/>
        </w:rPr>
        <w:t>地</w:t>
      </w:r>
      <w:r>
        <w:rPr>
          <w:rFonts w:ascii="宋体" w:hAnsi="宋体"/>
          <w:kern w:val="0"/>
          <w:sz w:val="24"/>
        </w:rPr>
        <w:t>掌握财税理论与实务</w:t>
      </w:r>
      <w:r>
        <w:rPr>
          <w:rFonts w:hint="eastAsia" w:ascii="宋体" w:hAnsi="宋体"/>
          <w:kern w:val="0"/>
          <w:sz w:val="24"/>
        </w:rPr>
        <w:t>，能够在</w:t>
      </w:r>
      <w:r>
        <w:rPr>
          <w:rFonts w:ascii="宋体" w:hAnsi="宋体"/>
          <w:kern w:val="0"/>
          <w:sz w:val="24"/>
        </w:rPr>
        <w:t>各级政府财税部门、</w:t>
      </w:r>
      <w:r>
        <w:rPr>
          <w:rFonts w:hint="eastAsia" w:ascii="宋体" w:hAnsi="宋体"/>
          <w:kern w:val="0"/>
          <w:sz w:val="24"/>
        </w:rPr>
        <w:t>经济</w:t>
      </w:r>
      <w:r>
        <w:rPr>
          <w:rFonts w:ascii="宋体" w:hAnsi="宋体"/>
          <w:kern w:val="0"/>
          <w:sz w:val="24"/>
        </w:rPr>
        <w:t>管理部门、事业单位、金融</w:t>
      </w:r>
      <w:r>
        <w:rPr>
          <w:rFonts w:hint="eastAsia" w:ascii="宋体" w:hAnsi="宋体"/>
          <w:kern w:val="0"/>
          <w:sz w:val="24"/>
        </w:rPr>
        <w:t>机构</w:t>
      </w:r>
      <w:r>
        <w:rPr>
          <w:rFonts w:ascii="宋体" w:hAnsi="宋体"/>
          <w:kern w:val="0"/>
          <w:sz w:val="24"/>
        </w:rPr>
        <w:t>和企业</w:t>
      </w:r>
      <w:r>
        <w:rPr>
          <w:rFonts w:hint="eastAsia" w:ascii="宋体" w:hAnsi="宋体"/>
          <w:kern w:val="0"/>
          <w:sz w:val="24"/>
        </w:rPr>
        <w:t>以及</w:t>
      </w:r>
      <w:r>
        <w:rPr>
          <w:rFonts w:ascii="宋体" w:hAnsi="宋体"/>
          <w:kern w:val="0"/>
          <w:sz w:val="24"/>
        </w:rPr>
        <w:t>非营利性组织从事财政税务</w:t>
      </w:r>
      <w:r>
        <w:rPr>
          <w:rFonts w:hint="eastAsia" w:ascii="宋体" w:hAnsi="宋体"/>
          <w:kern w:val="0"/>
          <w:sz w:val="24"/>
        </w:rPr>
        <w:t>管理</w:t>
      </w:r>
      <w:r>
        <w:rPr>
          <w:rFonts w:ascii="宋体" w:hAnsi="宋体"/>
          <w:kern w:val="0"/>
          <w:sz w:val="24"/>
        </w:rPr>
        <w:t>、</w:t>
      </w:r>
      <w:r>
        <w:rPr>
          <w:rFonts w:hint="eastAsia" w:ascii="宋体" w:hAnsi="宋体"/>
          <w:kern w:val="0"/>
          <w:sz w:val="24"/>
        </w:rPr>
        <w:t>国有</w:t>
      </w:r>
      <w:r>
        <w:rPr>
          <w:rFonts w:ascii="宋体" w:hAnsi="宋体"/>
          <w:kern w:val="0"/>
          <w:sz w:val="24"/>
        </w:rPr>
        <w:t>资产管理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财务管理等</w:t>
      </w:r>
      <w:r>
        <w:rPr>
          <w:rFonts w:hint="eastAsia" w:ascii="宋体" w:hAnsi="宋体"/>
          <w:kern w:val="0"/>
          <w:sz w:val="24"/>
        </w:rPr>
        <w:t>工作的</w:t>
      </w:r>
      <w:r>
        <w:rPr>
          <w:rFonts w:ascii="宋体" w:hAnsi="宋体"/>
          <w:kern w:val="0"/>
          <w:sz w:val="24"/>
        </w:rPr>
        <w:t>复合型专业人才。</w:t>
      </w:r>
    </w:p>
    <w:p>
      <w:pPr>
        <w:spacing w:line="360" w:lineRule="auto"/>
        <w:ind w:firstLine="551" w:firstLineChars="196"/>
        <w:rPr>
          <w:rFonts w:eastAsiaTheme="minorEastAsia"/>
          <w:b/>
          <w:sz w:val="28"/>
          <w:szCs w:val="28"/>
        </w:rPr>
      </w:pPr>
      <w:r>
        <w:rPr>
          <w:rFonts w:hAnsiTheme="minorEastAsia" w:eastAsiaTheme="minorEastAsia"/>
          <w:b/>
          <w:sz w:val="28"/>
          <w:szCs w:val="28"/>
        </w:rPr>
        <w:t>二、培养要求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>.具有人文素养、科学精神和社会责任感，具有团队协作、自主学习和终身学习意识，</w:t>
      </w:r>
      <w:r>
        <w:rPr>
          <w:rFonts w:hint="eastAsia" w:asciiTheme="minorEastAsia" w:hAnsiTheme="minorEastAsia" w:eastAsiaTheme="minorEastAsia"/>
          <w:sz w:val="24"/>
        </w:rPr>
        <w:t>具备良好的外语水平和计算机应用能力，具有较强的中英文表达及财经写作能力。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.适应“互联网+”的背景，能够恰当使用现代工具，对财政税收领域数据信息进行收集和分析处理；熟悉本专业领域相关政策及法律、法规，能够与国内外业界同行、社会公众就财政税收专业领域现象和问题进行有效沟通与交流。</w:t>
      </w:r>
      <w:r>
        <w:rPr>
          <w:rFonts w:ascii="宋体" w:hAnsi="宋体"/>
          <w:kern w:val="0"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3</w:t>
      </w:r>
      <w:r>
        <w:rPr>
          <w:rFonts w:hint="eastAsia" w:ascii="宋体" w:hAnsi="宋体"/>
          <w:kern w:val="0"/>
          <w:sz w:val="24"/>
        </w:rPr>
        <w:t>.具有国际化视野，了解财政学科发展前沿，能够应用财政税收基本理论、方法对公共经济、财政税收及相关领域的问题进行判断、分析和研究，提出对策和建议，并形成解决方案。</w:t>
      </w:r>
    </w:p>
    <w:p>
      <w:pPr>
        <w:spacing w:line="360" w:lineRule="auto"/>
        <w:ind w:firstLine="551" w:firstLineChars="196"/>
        <w:rPr>
          <w:rFonts w:eastAsiaTheme="minorEastAsia"/>
          <w:b/>
          <w:sz w:val="28"/>
          <w:szCs w:val="28"/>
        </w:rPr>
      </w:pPr>
      <w:r>
        <w:rPr>
          <w:rFonts w:hAnsiTheme="minorEastAsia" w:eastAsiaTheme="minorEastAsia"/>
          <w:b/>
          <w:sz w:val="28"/>
          <w:szCs w:val="28"/>
        </w:rPr>
        <w:t>三、修读要求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学生修读时间为两年。</w:t>
      </w:r>
      <w:r>
        <w:rPr>
          <w:rFonts w:hint="eastAsia" w:ascii="宋体" w:hAnsi="宋体"/>
          <w:sz w:val="24"/>
        </w:rPr>
        <w:t>完成辅修专业培养方案中不少于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门课程的学习且未达到辅修专业要求，可申请首都经济贸易大学财政学</w:t>
      </w:r>
      <w:r>
        <w:rPr>
          <w:rFonts w:ascii="宋体" w:hAnsi="宋体"/>
          <w:sz w:val="24"/>
        </w:rPr>
        <w:t>专业</w:t>
      </w:r>
      <w:r>
        <w:rPr>
          <w:rFonts w:hint="eastAsia" w:ascii="宋体" w:hAnsi="宋体"/>
          <w:sz w:val="24"/>
        </w:rPr>
        <w:t>辅修课程修读证明；</w:t>
      </w:r>
      <w:r>
        <w:rPr>
          <w:rFonts w:ascii="宋体" w:hAnsi="宋体"/>
          <w:sz w:val="24"/>
        </w:rPr>
        <w:t>修满规定的</w:t>
      </w:r>
      <w:r>
        <w:rPr>
          <w:rFonts w:hint="eastAsia" w:ascii="宋体" w:hAnsi="宋体"/>
          <w:sz w:val="24"/>
          <w:highlight w:val="yellow"/>
        </w:rPr>
        <w:t>21</w:t>
      </w:r>
      <w:r>
        <w:rPr>
          <w:rFonts w:ascii="宋体" w:hAnsi="宋体"/>
          <w:sz w:val="24"/>
        </w:rPr>
        <w:t>分</w:t>
      </w:r>
      <w:r>
        <w:rPr>
          <w:rFonts w:hint="eastAsia" w:ascii="宋体" w:hAnsi="宋体"/>
          <w:sz w:val="24"/>
        </w:rPr>
        <w:t>且满足相关条件</w:t>
      </w:r>
      <w:r>
        <w:rPr>
          <w:rStyle w:val="19"/>
          <w:rFonts w:ascii="宋体" w:hAnsi="宋体"/>
          <w:sz w:val="24"/>
        </w:rPr>
        <w:footnoteReference w:id="0"/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可</w:t>
      </w:r>
      <w:r>
        <w:rPr>
          <w:rFonts w:hint="eastAsia" w:ascii="宋体" w:hAnsi="宋体"/>
          <w:sz w:val="24"/>
        </w:rPr>
        <w:t>申请</w:t>
      </w:r>
      <w:r>
        <w:rPr>
          <w:rFonts w:ascii="宋体" w:hAnsi="宋体"/>
          <w:sz w:val="24"/>
        </w:rPr>
        <w:t>首都经济贸易大学</w:t>
      </w:r>
      <w:r>
        <w:rPr>
          <w:rFonts w:hint="eastAsia" w:ascii="宋体" w:hAnsi="宋体"/>
          <w:sz w:val="24"/>
        </w:rPr>
        <w:t>财政学</w:t>
      </w:r>
      <w:r>
        <w:rPr>
          <w:rFonts w:ascii="宋体" w:hAnsi="宋体"/>
          <w:sz w:val="24"/>
        </w:rPr>
        <w:t>专业辅修毕业证书；修满规定的</w:t>
      </w:r>
      <w:r>
        <w:rPr>
          <w:rFonts w:ascii="宋体" w:hAnsi="宋体"/>
          <w:sz w:val="24"/>
          <w:highlight w:val="yellow"/>
        </w:rPr>
        <w:t>31</w:t>
      </w:r>
      <w:r>
        <w:rPr>
          <w:rFonts w:ascii="宋体" w:hAnsi="宋体"/>
          <w:sz w:val="24"/>
        </w:rPr>
        <w:t>分（含毕业论文4学分）</w:t>
      </w:r>
      <w:r>
        <w:rPr>
          <w:rFonts w:hint="eastAsia" w:ascii="宋体" w:hAnsi="宋体"/>
          <w:sz w:val="24"/>
        </w:rPr>
        <w:t>且满足相关条件，</w:t>
      </w:r>
      <w:r>
        <w:rPr>
          <w:rFonts w:ascii="宋体" w:hAnsi="宋体"/>
          <w:sz w:val="24"/>
        </w:rPr>
        <w:t>可</w:t>
      </w:r>
      <w:r>
        <w:rPr>
          <w:rFonts w:hint="eastAsia" w:ascii="宋体" w:hAnsi="宋体"/>
          <w:sz w:val="24"/>
        </w:rPr>
        <w:t>申请</w:t>
      </w:r>
      <w:r>
        <w:rPr>
          <w:rFonts w:ascii="宋体" w:hAnsi="宋体"/>
          <w:sz w:val="24"/>
        </w:rPr>
        <w:t>首都经济贸易大学</w:t>
      </w:r>
      <w:r>
        <w:rPr>
          <w:rFonts w:hint="eastAsia" w:ascii="宋体" w:hAnsi="宋体"/>
          <w:sz w:val="24"/>
        </w:rPr>
        <w:t>财政学</w:t>
      </w:r>
      <w:r>
        <w:rPr>
          <w:rFonts w:ascii="宋体" w:hAnsi="宋体"/>
          <w:sz w:val="24"/>
        </w:rPr>
        <w:t>专业辅修学士学位。</w:t>
      </w:r>
    </w:p>
    <w:p>
      <w:pPr>
        <w:spacing w:line="360" w:lineRule="auto"/>
        <w:ind w:firstLine="480"/>
        <w:rPr>
          <w:rFonts w:ascii="宋体" w:hAnsi="宋体"/>
          <w:sz w:val="24"/>
        </w:rPr>
      </w:pPr>
    </w:p>
    <w:p>
      <w:pPr>
        <w:spacing w:line="360" w:lineRule="auto"/>
        <w:ind w:firstLine="480"/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四、教学计划表</w:t>
      </w:r>
      <w:r>
        <w:tab/>
      </w:r>
    </w:p>
    <w:tbl>
      <w:tblPr>
        <w:tblStyle w:val="16"/>
        <w:tblW w:w="8580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8"/>
        <w:gridCol w:w="1070"/>
        <w:gridCol w:w="156"/>
        <w:gridCol w:w="1971"/>
        <w:gridCol w:w="567"/>
        <w:gridCol w:w="567"/>
        <w:gridCol w:w="567"/>
        <w:gridCol w:w="567"/>
        <w:gridCol w:w="1559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2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  <w:highlight w:val="none"/>
              </w:rPr>
              <w:t>课程代码</w:t>
            </w:r>
          </w:p>
        </w:tc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  <w:highlight w:val="none"/>
              </w:rPr>
              <w:t>课程名称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  <w:highlight w:val="none"/>
              </w:rPr>
              <w:t>开设学期</w:t>
            </w:r>
            <w:r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  <w:t>/</w:t>
            </w:r>
            <w:r>
              <w:rPr>
                <w:rFonts w:hAnsiTheme="minorEastAsia" w:eastAsiaTheme="minorEastAsia"/>
                <w:b/>
                <w:bCs/>
                <w:kern w:val="0"/>
                <w:szCs w:val="21"/>
                <w:highlight w:val="none"/>
              </w:rPr>
              <w:t>周学时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  <w:highlight w:val="none"/>
              </w:rPr>
              <w:t>课程承担单位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  <w:highlight w:val="none"/>
              </w:rPr>
              <w:t>考试类型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2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eastAsiaTheme="minorEastAsia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0</w:t>
            </w:r>
            <w:r>
              <w:rPr>
                <w:rFonts w:eastAsiaTheme="minorEastAsia"/>
                <w:kern w:val="0"/>
                <w:szCs w:val="21"/>
                <w:highlight w:val="none"/>
              </w:rPr>
              <w:t>90013</w:t>
            </w: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A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财政学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highlight w:val="none"/>
              </w:rPr>
              <w:t>090133A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政府预算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eastAsiaTheme="minorEastAsia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0</w:t>
            </w:r>
            <w:r>
              <w:rPr>
                <w:rFonts w:eastAsiaTheme="minorEastAsia"/>
                <w:kern w:val="0"/>
                <w:szCs w:val="21"/>
                <w:highlight w:val="none"/>
              </w:rPr>
              <w:t>91353</w:t>
            </w: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A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中国税制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eastAsiaTheme="minorEastAsia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eastAsiaTheme="minorEastAsia"/>
                <w:kern w:val="0"/>
                <w:szCs w:val="21"/>
                <w:highlight w:val="none"/>
              </w:rPr>
              <w:t>F0921013B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国有资产管理学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0</w:t>
            </w:r>
            <w:r>
              <w:rPr>
                <w:rFonts w:eastAsiaTheme="minorEastAsia"/>
                <w:kern w:val="0"/>
                <w:szCs w:val="21"/>
                <w:highlight w:val="none"/>
              </w:rPr>
              <w:t>90073</w:t>
            </w: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B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税收筹划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eastAsiaTheme="minorEastAsia"/>
                <w:kern w:val="0"/>
                <w:szCs w:val="21"/>
                <w:highlight w:val="none"/>
              </w:rPr>
              <w:t>F0921023B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公共财政与社会保障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eastAsiaTheme="minorEastAsia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eastAsiaTheme="minorEastAsia"/>
                <w:kern w:val="0"/>
                <w:szCs w:val="21"/>
                <w:highlight w:val="none"/>
              </w:rPr>
              <w:t>F0921033B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公共项目评估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eastAsiaTheme="minorEastAsia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12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eastAsiaTheme="minorEastAsia"/>
                <w:kern w:val="0"/>
                <w:szCs w:val="21"/>
                <w:highlight w:val="none"/>
              </w:rPr>
              <w:t>F0921043B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政府采购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12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0924023B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政府财政统计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bookmarkStart w:id="0" w:name="_GoBack" w:colFirst="7" w:colLast="8"/>
            <w:r>
              <w:rPr>
                <w:rFonts w:hint="eastAsia" w:eastAsiaTheme="minorEastAsia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highlight w:val="none"/>
              </w:rPr>
              <w:t>9903614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辅修专业论文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考查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  <w:highlight w:val="none"/>
              </w:rPr>
              <w:t>小计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b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b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b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b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b/>
                <w:kern w:val="0"/>
                <w:szCs w:val="21"/>
                <w:highlight w:val="none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  <w:highlight w:val="none"/>
              </w:rPr>
              <w:t>备选课程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0</w:t>
            </w:r>
            <w:r>
              <w:rPr>
                <w:rFonts w:eastAsiaTheme="minorEastAsia"/>
                <w:kern w:val="0"/>
                <w:szCs w:val="21"/>
                <w:highlight w:val="none"/>
              </w:rPr>
              <w:t>40113</w:t>
            </w: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A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财务会计学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会计学院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eastAsiaTheme="minorEastAsia"/>
                <w:kern w:val="0"/>
                <w:szCs w:val="21"/>
                <w:highlight w:val="none"/>
              </w:rPr>
              <w:t>F0921083B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公债管理与投资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财税学院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09005</w:t>
            </w:r>
            <w:r>
              <w:rPr>
                <w:rFonts w:eastAsiaTheme="minorEastAsia"/>
                <w:kern w:val="0"/>
                <w:szCs w:val="21"/>
                <w:highlight w:val="none"/>
              </w:rPr>
              <w:t>3</w:t>
            </w: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B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纳税检查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财税学院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eastAsiaTheme="minorEastAsia"/>
                <w:kern w:val="0"/>
                <w:szCs w:val="21"/>
                <w:highlight w:val="none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left="113" w:leftChars="54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注：</w:t>
            </w:r>
          </w:p>
          <w:p>
            <w:pPr>
              <w:adjustRightInd w:val="0"/>
              <w:snapToGrid w:val="0"/>
              <w:spacing w:line="360" w:lineRule="auto"/>
              <w:ind w:left="113" w:leftChars="54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1备选课不单独开设，学生可插入辅修专业相关课程的班级中学习，并参加考试；</w:t>
            </w:r>
          </w:p>
          <w:p>
            <w:pPr>
              <w:adjustRightInd w:val="0"/>
              <w:snapToGrid w:val="0"/>
              <w:spacing w:line="360" w:lineRule="auto"/>
              <w:ind w:left="113" w:leftChars="54"/>
              <w:jc w:val="left"/>
              <w:rPr>
                <w:rFonts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2如备选课程学分不足，教学单位可根据《首都经济贸易大学本科人才培养方案（20</w:t>
            </w:r>
            <w:r>
              <w:rPr>
                <w:highlight w:val="none"/>
              </w:rPr>
              <w:t>21</w:t>
            </w:r>
            <w:r>
              <w:rPr>
                <w:rFonts w:hint="eastAsia"/>
                <w:highlight w:val="none"/>
              </w:rPr>
              <w:t>年）》中相应专业的人才培养方案进行适当调整，以满足学生修读的需求。</w:t>
            </w:r>
          </w:p>
        </w:tc>
      </w:tr>
    </w:tbl>
    <w:p>
      <w:r>
        <w:tab/>
      </w:r>
      <w:r>
        <w:tab/>
      </w:r>
      <w:r>
        <w:rPr>
          <w:rFonts w:hint="eastAsia"/>
        </w:rPr>
        <w:t>　</w:t>
      </w:r>
      <w:r>
        <w:tab/>
      </w:r>
      <w:r>
        <w:rPr>
          <w:rFonts w:hint="eastAsia"/>
        </w:rPr>
        <w:t>　</w:t>
      </w:r>
      <w:r>
        <w:tab/>
      </w:r>
      <w:r>
        <w:rPr>
          <w:rFonts w:hint="eastAsia"/>
        </w:rPr>
        <w:t>　</w:t>
      </w:r>
      <w:r>
        <w:tab/>
      </w:r>
      <w:r>
        <w:rPr>
          <w:rFonts w:hint="eastAsia"/>
        </w:rPr>
        <w:t>　</w:t>
      </w:r>
      <w:r>
        <w:tab/>
      </w:r>
      <w:r>
        <w:rPr>
          <w:rFonts w:hint="eastAsia"/>
        </w:rPr>
        <w:t>　</w:t>
      </w:r>
      <w:r>
        <w:tab/>
      </w:r>
      <w:r>
        <w:rPr>
          <w:rFonts w:hint="eastAsia"/>
        </w:rPr>
        <w:t>　</w:t>
      </w:r>
      <w:r>
        <w:tab/>
      </w:r>
      <w:r>
        <w:rPr>
          <w:rFonts w:hint="eastAsia"/>
        </w:rPr>
        <w:t>　</w:t>
      </w:r>
      <w:r>
        <w:tab/>
      </w:r>
      <w:r>
        <w:rPr>
          <w:rFonts w:hint="eastAsia"/>
        </w:rPr>
        <w:t>　</w:t>
      </w:r>
      <w: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3"/>
      </w:pPr>
      <w:r>
        <w:rPr>
          <w:rStyle w:val="19"/>
        </w:rPr>
        <w:footnoteRef/>
      </w:r>
      <w:r>
        <w:rPr>
          <w:rFonts w:hint="eastAsia"/>
        </w:rPr>
        <w:t xml:space="preserve"> 申请辅修证书、学士学位相应条件详见《首都经济贸易大学本科生辅修专业（双学位）管理办法》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jYjdhYWYyNWRjNDY4MmFkZjIwNzMzNmRlYzYxYWQifQ=="/>
  </w:docVars>
  <w:rsids>
    <w:rsidRoot w:val="001E54F3"/>
    <w:rsid w:val="00067362"/>
    <w:rsid w:val="0007396B"/>
    <w:rsid w:val="00076AA9"/>
    <w:rsid w:val="000D3555"/>
    <w:rsid w:val="000F06A4"/>
    <w:rsid w:val="000F15C8"/>
    <w:rsid w:val="000F19E9"/>
    <w:rsid w:val="00122296"/>
    <w:rsid w:val="00132007"/>
    <w:rsid w:val="00143CB1"/>
    <w:rsid w:val="001662BC"/>
    <w:rsid w:val="00190220"/>
    <w:rsid w:val="001B1FA5"/>
    <w:rsid w:val="001B49BC"/>
    <w:rsid w:val="001C168F"/>
    <w:rsid w:val="001E3FDA"/>
    <w:rsid w:val="001E54F3"/>
    <w:rsid w:val="001E7AD5"/>
    <w:rsid w:val="002039DA"/>
    <w:rsid w:val="002051FF"/>
    <w:rsid w:val="00221B3F"/>
    <w:rsid w:val="00276903"/>
    <w:rsid w:val="00295A5F"/>
    <w:rsid w:val="002A08AA"/>
    <w:rsid w:val="002B78E4"/>
    <w:rsid w:val="002E1CA3"/>
    <w:rsid w:val="002F3533"/>
    <w:rsid w:val="00337EC1"/>
    <w:rsid w:val="0034144F"/>
    <w:rsid w:val="003A0B33"/>
    <w:rsid w:val="003B02B4"/>
    <w:rsid w:val="003F11BB"/>
    <w:rsid w:val="003F24C8"/>
    <w:rsid w:val="00417042"/>
    <w:rsid w:val="00420F82"/>
    <w:rsid w:val="004A3C56"/>
    <w:rsid w:val="004A3D6D"/>
    <w:rsid w:val="004A400C"/>
    <w:rsid w:val="004A44E2"/>
    <w:rsid w:val="004A504F"/>
    <w:rsid w:val="004D42D9"/>
    <w:rsid w:val="004E7CEA"/>
    <w:rsid w:val="004F20FA"/>
    <w:rsid w:val="004F4C41"/>
    <w:rsid w:val="00505C2B"/>
    <w:rsid w:val="00506972"/>
    <w:rsid w:val="00510E47"/>
    <w:rsid w:val="00513C2E"/>
    <w:rsid w:val="00555522"/>
    <w:rsid w:val="005722FC"/>
    <w:rsid w:val="0059770F"/>
    <w:rsid w:val="005B6FF3"/>
    <w:rsid w:val="005C4997"/>
    <w:rsid w:val="005D33C7"/>
    <w:rsid w:val="005D5E43"/>
    <w:rsid w:val="00606C1F"/>
    <w:rsid w:val="00615D90"/>
    <w:rsid w:val="00630E77"/>
    <w:rsid w:val="006401B7"/>
    <w:rsid w:val="00641AB4"/>
    <w:rsid w:val="00642EC0"/>
    <w:rsid w:val="0069491A"/>
    <w:rsid w:val="006C618A"/>
    <w:rsid w:val="00705DFD"/>
    <w:rsid w:val="007157BE"/>
    <w:rsid w:val="007202EC"/>
    <w:rsid w:val="007514E2"/>
    <w:rsid w:val="00760B02"/>
    <w:rsid w:val="00763EDD"/>
    <w:rsid w:val="007A1458"/>
    <w:rsid w:val="007A728A"/>
    <w:rsid w:val="007C0510"/>
    <w:rsid w:val="007D2B45"/>
    <w:rsid w:val="007D3961"/>
    <w:rsid w:val="007D5643"/>
    <w:rsid w:val="007F6DDC"/>
    <w:rsid w:val="00801D60"/>
    <w:rsid w:val="0080612F"/>
    <w:rsid w:val="008205A9"/>
    <w:rsid w:val="008224EA"/>
    <w:rsid w:val="00833218"/>
    <w:rsid w:val="00853E68"/>
    <w:rsid w:val="00894834"/>
    <w:rsid w:val="008A6434"/>
    <w:rsid w:val="008B3464"/>
    <w:rsid w:val="008C1067"/>
    <w:rsid w:val="008D6027"/>
    <w:rsid w:val="00935726"/>
    <w:rsid w:val="00937E9B"/>
    <w:rsid w:val="009861CD"/>
    <w:rsid w:val="009902C5"/>
    <w:rsid w:val="009B75B7"/>
    <w:rsid w:val="00A910E1"/>
    <w:rsid w:val="00AB687B"/>
    <w:rsid w:val="00AF233C"/>
    <w:rsid w:val="00B5754A"/>
    <w:rsid w:val="00B849B0"/>
    <w:rsid w:val="00BA7B2A"/>
    <w:rsid w:val="00BB1AD5"/>
    <w:rsid w:val="00BB589D"/>
    <w:rsid w:val="00BC45D6"/>
    <w:rsid w:val="00BD02CE"/>
    <w:rsid w:val="00BE0C34"/>
    <w:rsid w:val="00C0081B"/>
    <w:rsid w:val="00C333C3"/>
    <w:rsid w:val="00C42990"/>
    <w:rsid w:val="00C6679E"/>
    <w:rsid w:val="00C82EAE"/>
    <w:rsid w:val="00C93A70"/>
    <w:rsid w:val="00CB1473"/>
    <w:rsid w:val="00CB34B8"/>
    <w:rsid w:val="00CC6F99"/>
    <w:rsid w:val="00D222F0"/>
    <w:rsid w:val="00D24731"/>
    <w:rsid w:val="00D645D3"/>
    <w:rsid w:val="00D74609"/>
    <w:rsid w:val="00D97541"/>
    <w:rsid w:val="00DB7D7A"/>
    <w:rsid w:val="00DD14F5"/>
    <w:rsid w:val="00E01A8C"/>
    <w:rsid w:val="00E12D5A"/>
    <w:rsid w:val="00E34B89"/>
    <w:rsid w:val="00E8350F"/>
    <w:rsid w:val="00E97202"/>
    <w:rsid w:val="00EA4B27"/>
    <w:rsid w:val="00EA7C91"/>
    <w:rsid w:val="00EB35D6"/>
    <w:rsid w:val="00EB6977"/>
    <w:rsid w:val="00EC6A46"/>
    <w:rsid w:val="00ED069C"/>
    <w:rsid w:val="00ED2D64"/>
    <w:rsid w:val="00EE0DA4"/>
    <w:rsid w:val="00EE19C1"/>
    <w:rsid w:val="00F2132B"/>
    <w:rsid w:val="00F46439"/>
    <w:rsid w:val="00F619CB"/>
    <w:rsid w:val="00F83A11"/>
    <w:rsid w:val="00FE2F7B"/>
    <w:rsid w:val="02D50DC8"/>
    <w:rsid w:val="10D97CAE"/>
    <w:rsid w:val="12487CE1"/>
    <w:rsid w:val="13A55725"/>
    <w:rsid w:val="1B756417"/>
    <w:rsid w:val="20FF1BA4"/>
    <w:rsid w:val="3F920F7D"/>
    <w:rsid w:val="4FD317B8"/>
    <w:rsid w:val="69322BAE"/>
    <w:rsid w:val="732857F3"/>
    <w:rsid w:val="795344B3"/>
    <w:rsid w:val="7CA91E7F"/>
    <w:rsid w:val="7F7D0C75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link w:val="2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link w:val="22"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5">
    <w:name w:val="heading 4"/>
    <w:basedOn w:val="1"/>
    <w:link w:val="23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link w:val="24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qFormat/>
    <w:uiPriority w:val="35"/>
    <w:rPr>
      <w:rFonts w:ascii="Calibri" w:hAnsi="Calibri"/>
      <w:sz w:val="20"/>
      <w:szCs w:val="20"/>
    </w:rPr>
  </w:style>
  <w:style w:type="paragraph" w:styleId="8">
    <w:name w:val="toc 3"/>
    <w:basedOn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9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unhideWhenUsed/>
    <w:qFormat/>
    <w:uiPriority w:val="39"/>
    <w:pPr>
      <w:widowControl/>
      <w:tabs>
        <w:tab w:val="right" w:leader="dot" w:pos="8296"/>
      </w:tabs>
      <w:spacing w:after="100" w:line="276" w:lineRule="auto"/>
      <w:jc w:val="center"/>
    </w:pPr>
    <w:rPr>
      <w:rFonts w:ascii="黑体" w:hAnsi="Calibri" w:eastAsia="黑体"/>
      <w:kern w:val="0"/>
      <w:sz w:val="22"/>
      <w:szCs w:val="22"/>
    </w:rPr>
  </w:style>
  <w:style w:type="paragraph" w:styleId="12">
    <w:name w:val="Subtitle"/>
    <w:basedOn w:val="1"/>
    <w:link w:val="26"/>
    <w:qFormat/>
    <w:uiPriority w:val="99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13">
    <w:name w:val="footnote text"/>
    <w:basedOn w:val="1"/>
    <w:link w:val="3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4">
    <w:name w:val="toc 2"/>
    <w:basedOn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5">
    <w:name w:val="Title"/>
    <w:basedOn w:val="1"/>
    <w:link w:val="25"/>
    <w:qFormat/>
    <w:uiPriority w:val="99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18">
    <w:name w:val="Strong"/>
    <w:qFormat/>
    <w:uiPriority w:val="22"/>
    <w:rPr>
      <w:b/>
      <w:bCs/>
    </w:rPr>
  </w:style>
  <w:style w:type="character" w:styleId="19">
    <w:name w:val="footnote reference"/>
    <w:basedOn w:val="17"/>
    <w:semiHidden/>
    <w:unhideWhenUsed/>
    <w:qFormat/>
    <w:uiPriority w:val="99"/>
    <w:rPr>
      <w:vertAlign w:val="superscript"/>
    </w:rPr>
  </w:style>
  <w:style w:type="character" w:customStyle="1" w:styleId="20">
    <w:name w:val="标题 1 字符"/>
    <w:link w:val="2"/>
    <w:qFormat/>
    <w:uiPriority w:val="99"/>
    <w:rPr>
      <w:rFonts w:ascii="Calibri" w:hAnsi="Calibri"/>
      <w:b/>
      <w:bCs/>
      <w:kern w:val="44"/>
      <w:sz w:val="44"/>
      <w:szCs w:val="44"/>
    </w:rPr>
  </w:style>
  <w:style w:type="character" w:customStyle="1" w:styleId="21">
    <w:name w:val="标题 2 字符"/>
    <w:link w:val="3"/>
    <w:qFormat/>
    <w:uiPriority w:val="99"/>
    <w:rPr>
      <w:rFonts w:ascii="Cambria" w:hAnsi="Cambria"/>
      <w:b/>
      <w:bCs/>
      <w:kern w:val="2"/>
      <w:sz w:val="32"/>
      <w:szCs w:val="32"/>
    </w:rPr>
  </w:style>
  <w:style w:type="character" w:customStyle="1" w:styleId="22">
    <w:name w:val="标题 3 字符"/>
    <w:link w:val="4"/>
    <w:qFormat/>
    <w:uiPriority w:val="99"/>
    <w:rPr>
      <w:rFonts w:ascii="Calibri" w:hAnsi="Calibri"/>
      <w:b/>
      <w:bCs/>
      <w:kern w:val="2"/>
      <w:sz w:val="32"/>
      <w:szCs w:val="32"/>
    </w:rPr>
  </w:style>
  <w:style w:type="character" w:customStyle="1" w:styleId="23">
    <w:name w:val="标题 4 字符"/>
    <w:basedOn w:val="17"/>
    <w:link w:val="5"/>
    <w:uiPriority w:val="99"/>
    <w:rPr>
      <w:rFonts w:ascii="Arial" w:hAnsi="Arial" w:eastAsia="黑体"/>
      <w:b/>
      <w:bCs/>
      <w:kern w:val="2"/>
      <w:sz w:val="28"/>
      <w:szCs w:val="28"/>
    </w:rPr>
  </w:style>
  <w:style w:type="character" w:customStyle="1" w:styleId="24">
    <w:name w:val="标题 5 字符"/>
    <w:basedOn w:val="17"/>
    <w:link w:val="6"/>
    <w:qFormat/>
    <w:uiPriority w:val="99"/>
    <w:rPr>
      <w:b/>
      <w:bCs/>
      <w:kern w:val="2"/>
      <w:sz w:val="28"/>
      <w:szCs w:val="28"/>
    </w:rPr>
  </w:style>
  <w:style w:type="character" w:customStyle="1" w:styleId="25">
    <w:name w:val="标题 字符"/>
    <w:basedOn w:val="17"/>
    <w:link w:val="15"/>
    <w:uiPriority w:val="99"/>
    <w:rPr>
      <w:rFonts w:ascii="Arial" w:hAnsi="Arial"/>
      <w:b/>
      <w:bCs/>
      <w:kern w:val="2"/>
      <w:sz w:val="32"/>
      <w:szCs w:val="32"/>
    </w:rPr>
  </w:style>
  <w:style w:type="character" w:customStyle="1" w:styleId="26">
    <w:name w:val="副标题 字符"/>
    <w:basedOn w:val="17"/>
    <w:link w:val="12"/>
    <w:uiPriority w:val="99"/>
    <w:rPr>
      <w:rFonts w:ascii="Arial" w:hAnsi="Arial"/>
      <w:b/>
      <w:bCs/>
      <w:kern w:val="28"/>
      <w:sz w:val="32"/>
      <w:szCs w:val="32"/>
    </w:rPr>
  </w:style>
  <w:style w:type="paragraph" w:styleId="27">
    <w:name w:val="No Spacing"/>
    <w:link w:val="28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8">
    <w:name w:val="无间隔 字符"/>
    <w:link w:val="27"/>
    <w:uiPriority w:val="1"/>
    <w:rPr>
      <w:rFonts w:ascii="Calibri" w:hAnsi="Calibri"/>
      <w:sz w:val="22"/>
      <w:szCs w:val="22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30">
    <w:name w:val="TOC 标题1"/>
    <w:basedOn w:val="2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1">
    <w:name w:val="页眉 字符"/>
    <w:basedOn w:val="17"/>
    <w:link w:val="10"/>
    <w:uiPriority w:val="99"/>
    <w:rPr>
      <w:kern w:val="2"/>
      <w:sz w:val="18"/>
      <w:szCs w:val="18"/>
    </w:rPr>
  </w:style>
  <w:style w:type="character" w:customStyle="1" w:styleId="32">
    <w:name w:val="页脚 字符"/>
    <w:basedOn w:val="17"/>
    <w:link w:val="9"/>
    <w:uiPriority w:val="99"/>
    <w:rPr>
      <w:kern w:val="2"/>
      <w:sz w:val="18"/>
      <w:szCs w:val="18"/>
    </w:rPr>
  </w:style>
  <w:style w:type="character" w:customStyle="1" w:styleId="33">
    <w:name w:val="脚注文本 字符"/>
    <w:basedOn w:val="17"/>
    <w:link w:val="1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1047</Characters>
  <Lines>8</Lines>
  <Paragraphs>2</Paragraphs>
  <TotalTime>0</TotalTime>
  <ScaleCrop>false</ScaleCrop>
  <LinksUpToDate>false</LinksUpToDate>
  <CharactersWithSpaces>1228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2021-07-25T08:08:00Z</dcterms:created>
  <dc:creator>DELL</dc:creator>
  <cp:lastModifiedBy>彼岸花开</cp:lastModifiedBy>
  <dcterms:modified xsi:type="dcterms:W3CDTF">2024-05-09T01:42:32Z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A8D5661CEB7243E9A8D066A2DF1E03DF_12</vt:lpwstr>
  </property>
</Properties>
</file>