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E575B3">
      <w:pPr>
        <w:spacing w:before="156" w:beforeLines="50" w:after="156" w:afterLines="50" w:line="480" w:lineRule="exact"/>
        <w:ind w:left="558" w:hanging="558" w:hangingChars="155"/>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Cs/>
          <w:sz w:val="36"/>
          <w:szCs w:val="36"/>
          <w:lang w:val="en-US" w:eastAsia="zh-CN"/>
        </w:rPr>
        <w:t>华侨</w:t>
      </w:r>
      <w:r>
        <w:rPr>
          <w:rFonts w:hint="eastAsia" w:ascii="方正小标宋简体" w:hAnsi="方正小标宋简体" w:eastAsia="方正小标宋简体" w:cs="方正小标宋简体"/>
          <w:bCs/>
          <w:sz w:val="36"/>
          <w:szCs w:val="36"/>
        </w:rPr>
        <w:t>学院</w:t>
      </w:r>
      <w:r>
        <w:rPr>
          <w:rFonts w:hint="eastAsia" w:ascii="方正小标宋简体" w:hAnsi="方正小标宋简体" w:eastAsia="方正小标宋简体" w:cs="方正小标宋简体"/>
          <w:bCs/>
          <w:sz w:val="36"/>
          <w:szCs w:val="36"/>
          <w:lang w:val="en-US" w:eastAsia="zh-CN"/>
        </w:rPr>
        <w:t>数字碳管理（全英文）</w:t>
      </w:r>
      <w:r>
        <w:rPr>
          <w:rFonts w:hint="eastAsia" w:ascii="方正小标宋简体" w:hAnsi="方正小标宋简体" w:eastAsia="方正小标宋简体" w:cs="方正小标宋简体"/>
          <w:bCs/>
          <w:sz w:val="36"/>
          <w:szCs w:val="36"/>
        </w:rPr>
        <w:t>微专业人才培养方案</w:t>
      </w:r>
    </w:p>
    <w:p w14:paraId="26E1227B">
      <w:pPr>
        <w:widowControl/>
        <w:spacing w:after="156" w:line="0" w:lineRule="atLeast"/>
        <w:ind w:firstLine="560" w:firstLineChars="200"/>
        <w:jc w:val="left"/>
        <w:rPr>
          <w:rFonts w:ascii="黑体" w:hAnsi="黑体" w:eastAsia="黑体" w:cs="黑体"/>
          <w:bCs/>
          <w:sz w:val="28"/>
          <w:szCs w:val="28"/>
        </w:rPr>
      </w:pPr>
    </w:p>
    <w:p w14:paraId="25F482FB">
      <w:pPr>
        <w:widowControl/>
        <w:numPr>
          <w:ilvl w:val="0"/>
          <w:numId w:val="1"/>
        </w:numPr>
        <w:spacing w:after="156" w:line="0" w:lineRule="atLeast"/>
        <w:ind w:firstLine="560" w:firstLineChars="200"/>
        <w:jc w:val="left"/>
        <w:rPr>
          <w:rFonts w:hint="eastAsia" w:ascii="仿宋_GB2312" w:eastAsia="仿宋_GB2312"/>
          <w:sz w:val="24"/>
          <w:szCs w:val="24"/>
        </w:rPr>
      </w:pPr>
      <w:r>
        <w:rPr>
          <w:rFonts w:hint="eastAsia" w:ascii="黑体" w:hAnsi="黑体" w:eastAsia="黑体" w:cs="黑体"/>
          <w:bCs/>
          <w:sz w:val="28"/>
          <w:szCs w:val="28"/>
        </w:rPr>
        <w:t>专业培养目标</w:t>
      </w:r>
    </w:p>
    <w:p w14:paraId="150D55AD">
      <w:pPr>
        <w:widowControl/>
        <w:ind w:left="480" w:leftChars="240" w:firstLine="480" w:firstLineChars="200"/>
        <w:rPr>
          <w:rFonts w:hint="eastAsia" w:ascii="仿宋_GB2312" w:eastAsia="仿宋_GB2312"/>
          <w:sz w:val="24"/>
          <w:szCs w:val="24"/>
          <w:lang w:val="en-US" w:eastAsia="zh-CN"/>
        </w:rPr>
      </w:pPr>
      <w:r>
        <w:rPr>
          <w:rFonts w:hint="eastAsia" w:ascii="仿宋_GB2312" w:eastAsia="仿宋_GB2312"/>
          <w:sz w:val="24"/>
          <w:szCs w:val="24"/>
          <w:lang w:val="en-US" w:eastAsia="zh-CN"/>
        </w:rPr>
        <w:t>自我国提出碳达峰、碳中和的30/60目标提出以来，社会各界对“双碳”人才需求激增。2022年，人社部公布新修订的《中华人民共和国职业分类大典》，其中新增绿色职业134个，约占职业总数的8%，碳汇交易师等均为新增收录的“双碳”相关职业。根据相关部门公布的数据显示，未来5-10年，中国需要的“双碳”人才将达到百万级别。而目前的相关从业者仅为10万名左右，存在较大的人才缺口。因此，基于数智化背景下的碳信息披露、碳资产管理、碳交易与碳金融等相关工作，有望成为未来黄金职业。</w:t>
      </w:r>
    </w:p>
    <w:p w14:paraId="2150C2B9">
      <w:pPr>
        <w:widowControl/>
        <w:ind w:left="480" w:leftChars="240" w:firstLine="480" w:firstLineChars="200"/>
        <w:rPr>
          <w:rFonts w:hint="default" w:ascii="仿宋_GB2312" w:eastAsia="仿宋_GB2312"/>
          <w:sz w:val="24"/>
          <w:szCs w:val="24"/>
          <w:lang w:val="en-US" w:eastAsia="zh-CN"/>
        </w:rPr>
      </w:pPr>
      <w:r>
        <w:rPr>
          <w:rFonts w:hint="eastAsia" w:ascii="仿宋_GB2312" w:eastAsia="仿宋_GB2312"/>
          <w:sz w:val="24"/>
          <w:szCs w:val="24"/>
          <w:lang w:val="en-US" w:eastAsia="zh-CN"/>
        </w:rPr>
        <w:t>本微专业坚持立德树人，以数智化时代大数据的分析与应用为技术支撑，从环境、社会、经济等角度出发，旨在培养具有社会主义核心价值观，对碳中和相关理论与实践有深入理解，熟悉全球可持续发展议程，系统掌握碳中和路径、碳信息披露标准、低碳管理等方面专业知识，具备较强的分析问题、解决问题、交流合作、组织管理等能力，能从事碳披露、碳管理、碳金融等碳中和领域急需的应用型、复合型人才。</w:t>
      </w:r>
    </w:p>
    <w:p w14:paraId="305196CD">
      <w:pPr>
        <w:widowControl/>
        <w:spacing w:after="156" w:line="0" w:lineRule="atLeast"/>
        <w:ind w:firstLine="560" w:firstLineChars="200"/>
        <w:jc w:val="left"/>
        <w:rPr>
          <w:rFonts w:ascii="宋体" w:hAnsi="宋体"/>
          <w:bCs/>
          <w:sz w:val="28"/>
          <w:szCs w:val="28"/>
        </w:rPr>
      </w:pPr>
    </w:p>
    <w:p w14:paraId="4512F21E">
      <w:pPr>
        <w:widowControl/>
        <w:numPr>
          <w:ilvl w:val="0"/>
          <w:numId w:val="1"/>
        </w:numPr>
        <w:spacing w:after="156" w:line="0" w:lineRule="atLeast"/>
        <w:ind w:left="0" w:leftChars="0" w:firstLine="560" w:firstLineChars="200"/>
        <w:jc w:val="left"/>
        <w:rPr>
          <w:rFonts w:hint="eastAsia" w:ascii="黑体" w:hAnsi="黑体" w:eastAsia="黑体" w:cs="黑体"/>
          <w:bCs/>
          <w:sz w:val="28"/>
          <w:szCs w:val="28"/>
        </w:rPr>
      </w:pPr>
      <w:r>
        <w:rPr>
          <w:rFonts w:hint="eastAsia" w:ascii="黑体" w:hAnsi="黑体" w:eastAsia="黑体" w:cs="黑体"/>
          <w:bCs/>
          <w:sz w:val="28"/>
          <w:szCs w:val="28"/>
        </w:rPr>
        <w:t>毕业要求</w:t>
      </w:r>
    </w:p>
    <w:p w14:paraId="53AEE2FE">
      <w:pPr>
        <w:widowControl/>
        <w:ind w:firstLine="480" w:firstLineChars="200"/>
        <w:rPr>
          <w:rFonts w:hint="eastAsia" w:ascii="仿宋_GB2312" w:eastAsia="仿宋_GB2312"/>
          <w:sz w:val="24"/>
          <w:szCs w:val="24"/>
          <w:lang w:val="en-US" w:eastAsia="zh-CN"/>
        </w:rPr>
      </w:pPr>
      <w:r>
        <w:rPr>
          <w:rFonts w:hint="eastAsia" w:ascii="仿宋_GB2312" w:eastAsia="仿宋_GB2312"/>
          <w:sz w:val="24"/>
          <w:szCs w:val="24"/>
          <w:lang w:val="en-US" w:eastAsia="zh-CN"/>
        </w:rPr>
        <w:t xml:space="preserve">  1. 所有课程考试或考查结果在及格或以上；</w:t>
      </w:r>
    </w:p>
    <w:p w14:paraId="5DCD2C69">
      <w:pPr>
        <w:widowControl/>
        <w:ind w:left="480" w:leftChars="240" w:firstLine="240" w:firstLineChars="100"/>
        <w:rPr>
          <w:rFonts w:hint="eastAsia" w:ascii="仿宋_GB2312" w:eastAsia="仿宋_GB2312"/>
          <w:sz w:val="24"/>
          <w:szCs w:val="24"/>
          <w:lang w:val="en-US" w:eastAsia="zh-CN"/>
        </w:rPr>
      </w:pPr>
      <w:r>
        <w:rPr>
          <w:rFonts w:hint="eastAsia" w:ascii="仿宋_GB2312" w:eastAsia="仿宋_GB2312"/>
          <w:sz w:val="24"/>
          <w:szCs w:val="24"/>
          <w:lang w:val="en-US" w:eastAsia="zh-CN"/>
        </w:rPr>
        <w:t>2. 具备可持续发展思维和碳中和理念，即能够将可持续发展、碳中和理念与本专业或其他跨学科专业联系起来，分析复杂问题；</w:t>
      </w:r>
    </w:p>
    <w:p w14:paraId="5F0C419B">
      <w:pPr>
        <w:widowControl/>
        <w:ind w:left="480" w:leftChars="240" w:firstLine="240" w:firstLineChars="100"/>
        <w:rPr>
          <w:rFonts w:hint="eastAsia" w:ascii="仿宋_GB2312" w:eastAsia="仿宋_GB2312"/>
          <w:sz w:val="24"/>
          <w:szCs w:val="24"/>
          <w:lang w:val="en-US" w:eastAsia="zh-CN"/>
        </w:rPr>
      </w:pPr>
      <w:r>
        <w:rPr>
          <w:rFonts w:hint="eastAsia" w:ascii="仿宋_GB2312" w:eastAsia="仿宋_GB2312"/>
          <w:sz w:val="24"/>
          <w:szCs w:val="24"/>
          <w:lang w:val="en-US" w:eastAsia="zh-CN"/>
        </w:rPr>
        <w:t>3. 具备数字化可持续发展创新能力：能够将大数据分析运用与可持续发展和碳中和领域，解决专业或实践中的复杂问题；</w:t>
      </w:r>
    </w:p>
    <w:p w14:paraId="4467B26B">
      <w:pPr>
        <w:widowControl/>
        <w:ind w:left="480" w:leftChars="240" w:firstLine="240" w:firstLineChars="100"/>
        <w:rPr>
          <w:rFonts w:hint="default" w:ascii="仿宋_GB2312" w:eastAsia="仿宋_GB2312"/>
          <w:sz w:val="24"/>
          <w:szCs w:val="24"/>
          <w:lang w:val="en-US" w:eastAsia="zh-CN"/>
        </w:rPr>
      </w:pPr>
      <w:r>
        <w:rPr>
          <w:rFonts w:hint="eastAsia" w:ascii="仿宋_GB2312" w:eastAsia="仿宋_GB2312"/>
          <w:sz w:val="24"/>
          <w:szCs w:val="24"/>
          <w:lang w:val="en-US" w:eastAsia="zh-CN"/>
        </w:rPr>
        <w:t>4. 能够在国际化多元环境下进行有效沟通和交流，具有良好的团队协作精神和自主学习能力。</w:t>
      </w:r>
    </w:p>
    <w:p w14:paraId="02DF32DB">
      <w:pPr>
        <w:widowControl/>
        <w:spacing w:after="156" w:line="0" w:lineRule="atLeast"/>
        <w:ind w:firstLine="560" w:firstLineChars="200"/>
        <w:jc w:val="left"/>
        <w:rPr>
          <w:rFonts w:ascii="宋体" w:hAnsi="宋体"/>
          <w:bCs/>
          <w:sz w:val="28"/>
          <w:szCs w:val="28"/>
        </w:rPr>
      </w:pPr>
    </w:p>
    <w:p w14:paraId="47AEB9C0">
      <w:pPr>
        <w:spacing w:before="156" w:beforeLines="50" w:after="156" w:afterLines="50" w:line="480" w:lineRule="exact"/>
        <w:ind w:firstLine="560" w:firstLineChars="200"/>
        <w:rPr>
          <w:rFonts w:ascii="宋体" w:hAnsi="宋体"/>
          <w:b/>
          <w:sz w:val="28"/>
          <w:szCs w:val="28"/>
        </w:rPr>
      </w:pPr>
      <w:r>
        <w:rPr>
          <w:rFonts w:hint="eastAsia" w:ascii="黑体" w:hAnsi="黑体" w:eastAsia="黑体" w:cs="黑体"/>
          <w:bCs/>
          <w:sz w:val="28"/>
          <w:szCs w:val="28"/>
        </w:rPr>
        <w:t>三、招生对象与条件</w:t>
      </w:r>
    </w:p>
    <w:p w14:paraId="1518CB74">
      <w:pPr>
        <w:widowControl/>
        <w:ind w:left="480" w:leftChars="240" w:firstLine="480" w:firstLineChars="200"/>
        <w:rPr>
          <w:rFonts w:ascii="仿宋_GB2312" w:eastAsia="仿宋_GB2312"/>
          <w:sz w:val="24"/>
          <w:szCs w:val="24"/>
        </w:rPr>
      </w:pPr>
      <w:r>
        <w:rPr>
          <w:rFonts w:hint="eastAsia" w:ascii="仿宋_GB2312" w:eastAsia="仿宋_GB2312"/>
          <w:sz w:val="24"/>
          <w:szCs w:val="24"/>
        </w:rPr>
        <w:t>本微专业面向全校一年级、二年级、三年级本科生招生（原则上30人以上开班）。学生学有余力，主修专业无不及格课程，对数字可持续发展、低碳、绿色经济管理有浓厚兴趣的，可报名参加，择优录取。</w:t>
      </w:r>
    </w:p>
    <w:p w14:paraId="7341DD4E">
      <w:pPr>
        <w:spacing w:before="156" w:beforeLines="50" w:after="156" w:after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四、学分与证书</w:t>
      </w:r>
    </w:p>
    <w:p w14:paraId="40D3F412">
      <w:pPr>
        <w:widowControl/>
        <w:ind w:left="480" w:leftChars="240" w:firstLine="480" w:firstLineChars="200"/>
        <w:rPr>
          <w:rFonts w:hint="eastAsia" w:ascii="仿宋_GB2312" w:eastAsia="仿宋_GB2312"/>
          <w:sz w:val="24"/>
          <w:szCs w:val="24"/>
        </w:rPr>
      </w:pPr>
      <w:r>
        <w:rPr>
          <w:rFonts w:hint="eastAsia" w:ascii="仿宋_GB2312" w:eastAsia="仿宋_GB2312"/>
          <w:sz w:val="24"/>
          <w:szCs w:val="24"/>
        </w:rPr>
        <w:t>本微专业设置8门课程，合计16学分，修读年限为两个学期。微专业课程体系包括4门必须课程和4门选修课程。要求学生至少修读12学分，并且考核合格方可取得首都经济贸易大学数字碳管理（全英文）微专业证书。</w:t>
      </w:r>
    </w:p>
    <w:p w14:paraId="1E471E66">
      <w:pPr>
        <w:spacing w:before="156" w:beforeLines="50" w:after="156" w:after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五、课程设置</w:t>
      </w:r>
    </w:p>
    <w:p w14:paraId="2965E9F3">
      <w:pPr>
        <w:widowControl/>
        <w:spacing w:after="156" w:line="0" w:lineRule="atLeast"/>
        <w:jc w:val="center"/>
        <w:rPr>
          <w:rFonts w:ascii="黑体" w:hAnsi="黑体" w:eastAsia="黑体" w:cs="黑体"/>
          <w:bCs/>
          <w:sz w:val="28"/>
          <w:szCs w:val="28"/>
        </w:rPr>
      </w:pPr>
      <w:r>
        <w:rPr>
          <w:rFonts w:hint="eastAsia" w:ascii="黑体" w:hAnsi="黑体" w:eastAsia="黑体" w:cs="黑体"/>
          <w:bCs/>
          <w:sz w:val="28"/>
          <w:szCs w:val="28"/>
          <w:lang w:val="en-US" w:eastAsia="zh-CN"/>
        </w:rPr>
        <w:t>数字碳管理（全英文）</w:t>
      </w:r>
      <w:r>
        <w:rPr>
          <w:rFonts w:hint="eastAsia" w:ascii="黑体" w:hAnsi="黑体" w:eastAsia="黑体" w:cs="黑体"/>
          <w:bCs/>
          <w:sz w:val="28"/>
          <w:szCs w:val="28"/>
        </w:rPr>
        <w:t>微专业课程设置及教学进程计划表</w:t>
      </w:r>
    </w:p>
    <w:tbl>
      <w:tblPr>
        <w:tblStyle w:val="2"/>
        <w:tblW w:w="100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9"/>
        <w:gridCol w:w="1025"/>
        <w:gridCol w:w="488"/>
        <w:gridCol w:w="600"/>
        <w:gridCol w:w="737"/>
        <w:gridCol w:w="713"/>
        <w:gridCol w:w="625"/>
        <w:gridCol w:w="725"/>
        <w:gridCol w:w="712"/>
        <w:gridCol w:w="614"/>
        <w:gridCol w:w="824"/>
        <w:gridCol w:w="792"/>
        <w:gridCol w:w="792"/>
      </w:tblGrid>
      <w:tr w14:paraId="1FC40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Merge w:val="restart"/>
            <w:tcBorders>
              <w:bottom w:val="single" w:color="auto" w:sz="4" w:space="0"/>
            </w:tcBorders>
            <w:vAlign w:val="center"/>
          </w:tcPr>
          <w:p w14:paraId="45CCE046">
            <w:pPr>
              <w:widowControl/>
              <w:jc w:val="center"/>
              <w:rPr>
                <w:rFonts w:ascii="黑体" w:hAnsi="黑体" w:eastAsia="黑体"/>
                <w:bCs/>
                <w:spacing w:val="20"/>
                <w:sz w:val="18"/>
                <w:szCs w:val="18"/>
              </w:rPr>
            </w:pPr>
            <w:r>
              <w:rPr>
                <w:rFonts w:hint="eastAsia" w:ascii="黑体" w:hAnsi="黑体" w:eastAsia="黑体"/>
                <w:bCs/>
                <w:sz w:val="18"/>
                <w:szCs w:val="18"/>
              </w:rPr>
              <w:t>课程名称</w:t>
            </w:r>
          </w:p>
        </w:tc>
        <w:tc>
          <w:tcPr>
            <w:tcW w:w="1025" w:type="dxa"/>
            <w:vMerge w:val="restart"/>
            <w:vAlign w:val="center"/>
          </w:tcPr>
          <w:p w14:paraId="5FC4C4D4">
            <w:pPr>
              <w:widowControl/>
              <w:jc w:val="center"/>
              <w:rPr>
                <w:rFonts w:ascii="黑体" w:hAnsi="黑体" w:eastAsia="黑体"/>
                <w:bCs/>
                <w:sz w:val="18"/>
                <w:szCs w:val="18"/>
              </w:rPr>
            </w:pPr>
            <w:r>
              <w:rPr>
                <w:rFonts w:hint="eastAsia" w:ascii="黑体" w:hAnsi="黑体" w:eastAsia="黑体"/>
                <w:bCs/>
                <w:sz w:val="18"/>
                <w:szCs w:val="18"/>
              </w:rPr>
              <w:t>课程代码</w:t>
            </w:r>
          </w:p>
        </w:tc>
        <w:tc>
          <w:tcPr>
            <w:tcW w:w="488" w:type="dxa"/>
            <w:vMerge w:val="restart"/>
            <w:tcBorders>
              <w:bottom w:val="single" w:color="auto" w:sz="4" w:space="0"/>
            </w:tcBorders>
            <w:vAlign w:val="center"/>
          </w:tcPr>
          <w:p w14:paraId="1ABFEC55">
            <w:pPr>
              <w:widowControl/>
              <w:jc w:val="center"/>
              <w:rPr>
                <w:rFonts w:ascii="黑体" w:hAnsi="黑体" w:eastAsia="黑体"/>
                <w:bCs/>
                <w:spacing w:val="20"/>
                <w:sz w:val="18"/>
                <w:szCs w:val="18"/>
              </w:rPr>
            </w:pPr>
            <w:r>
              <w:rPr>
                <w:rFonts w:hint="eastAsia" w:ascii="黑体" w:hAnsi="黑体" w:eastAsia="黑体"/>
                <w:bCs/>
                <w:sz w:val="18"/>
                <w:szCs w:val="18"/>
              </w:rPr>
              <w:t>学分</w:t>
            </w:r>
          </w:p>
        </w:tc>
        <w:tc>
          <w:tcPr>
            <w:tcW w:w="600" w:type="dxa"/>
            <w:vMerge w:val="restart"/>
            <w:vAlign w:val="center"/>
          </w:tcPr>
          <w:p w14:paraId="4FDA4142">
            <w:pPr>
              <w:widowControl/>
              <w:jc w:val="center"/>
              <w:rPr>
                <w:rFonts w:ascii="黑体" w:hAnsi="黑体" w:eastAsia="黑体"/>
                <w:bCs/>
                <w:sz w:val="18"/>
                <w:szCs w:val="18"/>
              </w:rPr>
            </w:pPr>
            <w:r>
              <w:rPr>
                <w:rFonts w:ascii="黑体" w:hAnsi="黑体" w:eastAsia="黑体"/>
                <w:bCs/>
                <w:sz w:val="18"/>
              </w:rPr>
              <w:t>总学时</w:t>
            </w:r>
          </w:p>
        </w:tc>
        <w:tc>
          <w:tcPr>
            <w:tcW w:w="737" w:type="dxa"/>
            <w:vMerge w:val="restart"/>
            <w:vAlign w:val="center"/>
          </w:tcPr>
          <w:p w14:paraId="1BAE3E88">
            <w:pPr>
              <w:widowControl/>
              <w:jc w:val="center"/>
              <w:rPr>
                <w:rFonts w:hint="default" w:ascii="黑体" w:hAnsi="黑体" w:eastAsia="黑体"/>
                <w:bCs/>
                <w:sz w:val="18"/>
                <w:lang w:val="en-US" w:eastAsia="zh-CN"/>
              </w:rPr>
            </w:pPr>
            <w:r>
              <w:rPr>
                <w:rFonts w:hint="eastAsia" w:ascii="黑体" w:hAnsi="黑体" w:eastAsia="黑体"/>
                <w:bCs/>
                <w:sz w:val="18"/>
                <w:lang w:val="en-US" w:eastAsia="zh-CN"/>
              </w:rPr>
              <w:t>授课教师</w:t>
            </w:r>
          </w:p>
        </w:tc>
        <w:tc>
          <w:tcPr>
            <w:tcW w:w="2775" w:type="dxa"/>
            <w:gridSpan w:val="4"/>
            <w:tcBorders>
              <w:bottom w:val="single" w:color="auto" w:sz="4" w:space="0"/>
            </w:tcBorders>
            <w:vAlign w:val="center"/>
          </w:tcPr>
          <w:p w14:paraId="03066CA7">
            <w:pPr>
              <w:widowControl/>
              <w:jc w:val="center"/>
              <w:rPr>
                <w:rFonts w:ascii="黑体" w:hAnsi="黑体" w:eastAsia="黑体"/>
                <w:bCs/>
                <w:spacing w:val="20"/>
                <w:sz w:val="18"/>
                <w:szCs w:val="18"/>
              </w:rPr>
            </w:pPr>
            <w:r>
              <w:rPr>
                <w:rFonts w:ascii="黑体" w:hAnsi="黑体" w:eastAsia="黑体"/>
                <w:bCs/>
                <w:spacing w:val="75"/>
                <w:kern w:val="0"/>
                <w:sz w:val="18"/>
                <w:szCs w:val="18"/>
                <w:fitText w:val="840" w:id="1307458760"/>
              </w:rPr>
              <w:t>学时</w:t>
            </w:r>
            <w:r>
              <w:rPr>
                <w:rFonts w:hint="eastAsia" w:ascii="黑体" w:hAnsi="黑体" w:eastAsia="黑体"/>
                <w:bCs/>
                <w:spacing w:val="0"/>
                <w:kern w:val="0"/>
                <w:sz w:val="18"/>
                <w:szCs w:val="18"/>
                <w:fitText w:val="840" w:id="1307458760"/>
              </w:rPr>
              <w:t>分</w:t>
            </w:r>
            <w:r>
              <w:rPr>
                <w:rFonts w:hint="eastAsia" w:ascii="黑体" w:hAnsi="黑体" w:eastAsia="黑体"/>
                <w:bCs/>
                <w:sz w:val="18"/>
                <w:szCs w:val="18"/>
              </w:rPr>
              <w:t xml:space="preserve"> 配</w:t>
            </w:r>
          </w:p>
        </w:tc>
        <w:tc>
          <w:tcPr>
            <w:tcW w:w="614" w:type="dxa"/>
            <w:vMerge w:val="restart"/>
            <w:tcBorders>
              <w:bottom w:val="single" w:color="auto" w:sz="4" w:space="0"/>
            </w:tcBorders>
            <w:vAlign w:val="center"/>
          </w:tcPr>
          <w:p w14:paraId="2882F6D2">
            <w:pPr>
              <w:widowControl/>
              <w:snapToGrid w:val="0"/>
              <w:jc w:val="center"/>
              <w:rPr>
                <w:rFonts w:ascii="黑体" w:hAnsi="黑体" w:eastAsia="黑体"/>
                <w:bCs/>
                <w:sz w:val="18"/>
                <w:szCs w:val="18"/>
              </w:rPr>
            </w:pPr>
            <w:r>
              <w:rPr>
                <w:rFonts w:hint="eastAsia" w:ascii="黑体" w:hAnsi="黑体" w:eastAsia="黑体"/>
                <w:bCs/>
                <w:sz w:val="18"/>
                <w:szCs w:val="18"/>
              </w:rPr>
              <w:t>考核</w:t>
            </w:r>
          </w:p>
          <w:p w14:paraId="434399F4">
            <w:pPr>
              <w:widowControl/>
              <w:jc w:val="center"/>
              <w:rPr>
                <w:rFonts w:ascii="黑体" w:hAnsi="黑体" w:eastAsia="黑体"/>
                <w:bCs/>
                <w:spacing w:val="20"/>
                <w:sz w:val="18"/>
                <w:szCs w:val="18"/>
              </w:rPr>
            </w:pPr>
            <w:r>
              <w:rPr>
                <w:rFonts w:hint="eastAsia" w:ascii="黑体" w:hAnsi="黑体" w:eastAsia="黑体"/>
                <w:bCs/>
                <w:sz w:val="18"/>
                <w:szCs w:val="18"/>
              </w:rPr>
              <w:t>方式</w:t>
            </w:r>
          </w:p>
        </w:tc>
        <w:tc>
          <w:tcPr>
            <w:tcW w:w="824" w:type="dxa"/>
            <w:vMerge w:val="restart"/>
            <w:tcBorders>
              <w:bottom w:val="single" w:color="auto" w:sz="4" w:space="0"/>
            </w:tcBorders>
            <w:vAlign w:val="center"/>
          </w:tcPr>
          <w:p w14:paraId="1375F0F2">
            <w:pPr>
              <w:widowControl/>
              <w:jc w:val="center"/>
              <w:rPr>
                <w:rFonts w:ascii="黑体" w:hAnsi="黑体" w:eastAsia="黑体"/>
                <w:bCs/>
                <w:spacing w:val="20"/>
                <w:sz w:val="18"/>
                <w:szCs w:val="18"/>
              </w:rPr>
            </w:pPr>
            <w:r>
              <w:rPr>
                <w:rFonts w:hint="eastAsia" w:ascii="黑体" w:hAnsi="黑体" w:eastAsia="黑体"/>
                <w:bCs/>
                <w:spacing w:val="20"/>
                <w:sz w:val="18"/>
                <w:szCs w:val="18"/>
              </w:rPr>
              <w:t>开课单位</w:t>
            </w:r>
          </w:p>
        </w:tc>
        <w:tc>
          <w:tcPr>
            <w:tcW w:w="792" w:type="dxa"/>
            <w:vMerge w:val="restart"/>
            <w:vAlign w:val="center"/>
          </w:tcPr>
          <w:p w14:paraId="2EA93C72">
            <w:pPr>
              <w:widowControl/>
              <w:snapToGrid w:val="0"/>
              <w:jc w:val="center"/>
              <w:rPr>
                <w:rFonts w:ascii="黑体" w:hAnsi="黑体" w:eastAsia="黑体"/>
                <w:bCs/>
                <w:sz w:val="18"/>
                <w:szCs w:val="18"/>
              </w:rPr>
            </w:pPr>
            <w:r>
              <w:rPr>
                <w:rFonts w:ascii="黑体" w:hAnsi="黑体" w:eastAsia="黑体"/>
                <w:bCs/>
                <w:sz w:val="18"/>
                <w:szCs w:val="18"/>
              </w:rPr>
              <w:t>开课</w:t>
            </w:r>
          </w:p>
          <w:p w14:paraId="2D80B4A9">
            <w:pPr>
              <w:widowControl/>
              <w:jc w:val="center"/>
              <w:rPr>
                <w:rFonts w:hint="default" w:ascii="黑体" w:hAnsi="黑体" w:eastAsia="黑体"/>
                <w:bCs/>
                <w:spacing w:val="20"/>
                <w:sz w:val="18"/>
                <w:szCs w:val="18"/>
                <w:lang w:val="en-US" w:eastAsia="zh-CN"/>
              </w:rPr>
            </w:pPr>
            <w:r>
              <w:rPr>
                <w:rFonts w:hint="eastAsia" w:ascii="黑体" w:hAnsi="黑体" w:eastAsia="黑体"/>
                <w:bCs/>
                <w:sz w:val="18"/>
                <w:szCs w:val="18"/>
                <w:lang w:val="en-US" w:eastAsia="zh-CN"/>
              </w:rPr>
              <w:t>学期</w:t>
            </w:r>
            <w:r>
              <w:rPr>
                <w:rFonts w:hint="eastAsia" w:ascii="黑体" w:hAnsi="黑体" w:eastAsia="黑体"/>
                <w:bCs/>
                <w:sz w:val="18"/>
                <w:szCs w:val="18"/>
                <w:lang w:eastAsia="zh-CN"/>
              </w:rPr>
              <w:t>、</w:t>
            </w:r>
            <w:r>
              <w:rPr>
                <w:rFonts w:hint="eastAsia" w:ascii="黑体" w:hAnsi="黑体" w:eastAsia="黑体"/>
                <w:bCs/>
                <w:sz w:val="18"/>
                <w:szCs w:val="18"/>
                <w:lang w:val="en-US" w:eastAsia="zh-CN"/>
              </w:rPr>
              <w:t>时间</w:t>
            </w:r>
          </w:p>
        </w:tc>
        <w:tc>
          <w:tcPr>
            <w:tcW w:w="792" w:type="dxa"/>
            <w:vMerge w:val="restart"/>
            <w:vAlign w:val="center"/>
          </w:tcPr>
          <w:p w14:paraId="3B96D191">
            <w:pPr>
              <w:widowControl/>
              <w:jc w:val="center"/>
              <w:rPr>
                <w:rFonts w:hint="default" w:ascii="黑体" w:hAnsi="黑体" w:eastAsia="黑体"/>
                <w:bCs/>
                <w:sz w:val="18"/>
                <w:szCs w:val="18"/>
                <w:lang w:val="en-US" w:eastAsia="zh-CN"/>
              </w:rPr>
            </w:pPr>
            <w:r>
              <w:rPr>
                <w:rFonts w:hint="eastAsia" w:ascii="黑体" w:hAnsi="黑体" w:eastAsia="黑体"/>
                <w:bCs/>
                <w:sz w:val="18"/>
                <w:szCs w:val="18"/>
                <w:lang w:val="en-US" w:eastAsia="zh-CN"/>
              </w:rPr>
              <w:t>具体上课周数</w:t>
            </w:r>
          </w:p>
        </w:tc>
      </w:tr>
      <w:tr w14:paraId="0D707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Merge w:val="continue"/>
            <w:vAlign w:val="center"/>
          </w:tcPr>
          <w:p w14:paraId="2C712988">
            <w:pPr>
              <w:widowControl/>
              <w:jc w:val="center"/>
              <w:rPr>
                <w:rFonts w:ascii="仿宋" w:hAnsi="仿宋" w:eastAsia="仿宋"/>
                <w:b/>
                <w:spacing w:val="20"/>
                <w:sz w:val="21"/>
                <w:szCs w:val="21"/>
              </w:rPr>
            </w:pPr>
          </w:p>
        </w:tc>
        <w:tc>
          <w:tcPr>
            <w:tcW w:w="1025" w:type="dxa"/>
            <w:vMerge w:val="continue"/>
            <w:vAlign w:val="center"/>
          </w:tcPr>
          <w:p w14:paraId="0C531A08">
            <w:pPr>
              <w:widowControl/>
              <w:jc w:val="center"/>
              <w:rPr>
                <w:rFonts w:ascii="仿宋" w:hAnsi="仿宋" w:eastAsia="仿宋"/>
                <w:b/>
                <w:spacing w:val="20"/>
                <w:sz w:val="21"/>
                <w:szCs w:val="21"/>
              </w:rPr>
            </w:pPr>
          </w:p>
        </w:tc>
        <w:tc>
          <w:tcPr>
            <w:tcW w:w="488" w:type="dxa"/>
            <w:vMerge w:val="continue"/>
            <w:vAlign w:val="center"/>
          </w:tcPr>
          <w:p w14:paraId="6B1A4D4A">
            <w:pPr>
              <w:widowControl/>
              <w:jc w:val="center"/>
              <w:rPr>
                <w:rFonts w:ascii="仿宋" w:hAnsi="仿宋" w:eastAsia="仿宋"/>
                <w:b/>
                <w:spacing w:val="20"/>
                <w:sz w:val="21"/>
                <w:szCs w:val="21"/>
              </w:rPr>
            </w:pPr>
          </w:p>
        </w:tc>
        <w:tc>
          <w:tcPr>
            <w:tcW w:w="600" w:type="dxa"/>
            <w:vMerge w:val="continue"/>
            <w:vAlign w:val="center"/>
          </w:tcPr>
          <w:p w14:paraId="6B140C69">
            <w:pPr>
              <w:widowControl/>
              <w:jc w:val="center"/>
              <w:rPr>
                <w:rFonts w:ascii="仿宋" w:hAnsi="仿宋" w:eastAsia="仿宋"/>
                <w:b/>
                <w:spacing w:val="20"/>
                <w:sz w:val="21"/>
                <w:szCs w:val="21"/>
              </w:rPr>
            </w:pPr>
          </w:p>
        </w:tc>
        <w:tc>
          <w:tcPr>
            <w:tcW w:w="737" w:type="dxa"/>
            <w:vMerge w:val="continue"/>
            <w:vAlign w:val="center"/>
          </w:tcPr>
          <w:p w14:paraId="612BC6C4">
            <w:pPr>
              <w:widowControl/>
              <w:jc w:val="center"/>
              <w:rPr>
                <w:rFonts w:ascii="仿宋" w:hAnsi="仿宋" w:eastAsia="仿宋"/>
                <w:b/>
                <w:spacing w:val="20"/>
                <w:sz w:val="21"/>
                <w:szCs w:val="21"/>
              </w:rPr>
            </w:pPr>
          </w:p>
        </w:tc>
        <w:tc>
          <w:tcPr>
            <w:tcW w:w="713" w:type="dxa"/>
            <w:vAlign w:val="center"/>
          </w:tcPr>
          <w:p w14:paraId="7B2D1426">
            <w:pPr>
              <w:widowControl/>
              <w:jc w:val="center"/>
              <w:rPr>
                <w:rFonts w:ascii="黑体" w:hAnsi="黑体" w:eastAsia="黑体"/>
                <w:bCs/>
                <w:spacing w:val="20"/>
                <w:sz w:val="21"/>
                <w:szCs w:val="21"/>
              </w:rPr>
            </w:pPr>
            <w:r>
              <w:rPr>
                <w:rFonts w:hint="eastAsia" w:ascii="黑体" w:hAnsi="黑体" w:eastAsia="黑体"/>
                <w:bCs/>
                <w:sz w:val="18"/>
              </w:rPr>
              <w:t>理论</w:t>
            </w:r>
          </w:p>
        </w:tc>
        <w:tc>
          <w:tcPr>
            <w:tcW w:w="625" w:type="dxa"/>
            <w:vAlign w:val="center"/>
          </w:tcPr>
          <w:p w14:paraId="0B6AE753">
            <w:pPr>
              <w:widowControl/>
              <w:jc w:val="center"/>
              <w:rPr>
                <w:rFonts w:ascii="黑体" w:hAnsi="黑体" w:eastAsia="黑体"/>
                <w:bCs/>
                <w:spacing w:val="20"/>
                <w:sz w:val="21"/>
                <w:szCs w:val="21"/>
              </w:rPr>
            </w:pPr>
            <w:r>
              <w:rPr>
                <w:rFonts w:hint="eastAsia" w:ascii="黑体" w:hAnsi="黑体" w:eastAsia="黑体"/>
                <w:bCs/>
                <w:sz w:val="18"/>
              </w:rPr>
              <w:t>实践</w:t>
            </w:r>
          </w:p>
        </w:tc>
        <w:tc>
          <w:tcPr>
            <w:tcW w:w="725" w:type="dxa"/>
            <w:vAlign w:val="center"/>
          </w:tcPr>
          <w:p w14:paraId="1F3915D3">
            <w:pPr>
              <w:widowControl/>
              <w:jc w:val="center"/>
              <w:rPr>
                <w:rFonts w:ascii="黑体" w:hAnsi="黑体" w:eastAsia="黑体"/>
                <w:bCs/>
                <w:spacing w:val="20"/>
                <w:sz w:val="21"/>
                <w:szCs w:val="21"/>
              </w:rPr>
            </w:pPr>
            <w:r>
              <w:rPr>
                <w:rFonts w:hint="eastAsia" w:ascii="黑体" w:hAnsi="黑体" w:eastAsia="黑体"/>
                <w:bCs/>
                <w:sz w:val="18"/>
                <w:szCs w:val="18"/>
              </w:rPr>
              <w:t>线上学时</w:t>
            </w:r>
          </w:p>
        </w:tc>
        <w:tc>
          <w:tcPr>
            <w:tcW w:w="712" w:type="dxa"/>
            <w:vAlign w:val="center"/>
          </w:tcPr>
          <w:p w14:paraId="6C06FBBE">
            <w:pPr>
              <w:widowControl/>
              <w:jc w:val="center"/>
              <w:rPr>
                <w:rFonts w:ascii="仿宋" w:hAnsi="仿宋" w:eastAsia="仿宋"/>
                <w:b/>
                <w:spacing w:val="20"/>
                <w:sz w:val="21"/>
                <w:szCs w:val="21"/>
              </w:rPr>
            </w:pPr>
            <w:r>
              <w:rPr>
                <w:rFonts w:hint="eastAsia" w:ascii="黑体" w:hAnsi="黑体" w:eastAsia="黑体"/>
                <w:bCs/>
                <w:sz w:val="18"/>
                <w:szCs w:val="18"/>
              </w:rPr>
              <w:t>线下学时</w:t>
            </w:r>
          </w:p>
        </w:tc>
        <w:tc>
          <w:tcPr>
            <w:tcW w:w="614" w:type="dxa"/>
            <w:vMerge w:val="continue"/>
            <w:vAlign w:val="center"/>
          </w:tcPr>
          <w:p w14:paraId="62F49BC9">
            <w:pPr>
              <w:widowControl/>
              <w:jc w:val="center"/>
              <w:rPr>
                <w:rFonts w:ascii="仿宋" w:hAnsi="仿宋" w:eastAsia="仿宋"/>
                <w:b/>
                <w:spacing w:val="20"/>
                <w:sz w:val="21"/>
                <w:szCs w:val="21"/>
              </w:rPr>
            </w:pPr>
          </w:p>
        </w:tc>
        <w:tc>
          <w:tcPr>
            <w:tcW w:w="824" w:type="dxa"/>
            <w:vMerge w:val="continue"/>
            <w:vAlign w:val="center"/>
          </w:tcPr>
          <w:p w14:paraId="5D096049">
            <w:pPr>
              <w:widowControl/>
              <w:jc w:val="center"/>
              <w:rPr>
                <w:rFonts w:ascii="仿宋" w:hAnsi="仿宋" w:eastAsia="仿宋"/>
                <w:b/>
                <w:spacing w:val="20"/>
                <w:sz w:val="21"/>
                <w:szCs w:val="21"/>
              </w:rPr>
            </w:pPr>
          </w:p>
        </w:tc>
        <w:tc>
          <w:tcPr>
            <w:tcW w:w="792" w:type="dxa"/>
            <w:vMerge w:val="continue"/>
            <w:vAlign w:val="center"/>
          </w:tcPr>
          <w:p w14:paraId="4BBFAA6F">
            <w:pPr>
              <w:widowControl/>
              <w:jc w:val="center"/>
              <w:rPr>
                <w:rFonts w:ascii="仿宋" w:hAnsi="仿宋" w:eastAsia="仿宋"/>
                <w:b/>
                <w:spacing w:val="20"/>
                <w:sz w:val="21"/>
                <w:szCs w:val="21"/>
              </w:rPr>
            </w:pPr>
          </w:p>
        </w:tc>
        <w:tc>
          <w:tcPr>
            <w:tcW w:w="792" w:type="dxa"/>
            <w:vMerge w:val="continue"/>
            <w:vAlign w:val="center"/>
          </w:tcPr>
          <w:p w14:paraId="0F62BE9B">
            <w:pPr>
              <w:widowControl/>
              <w:jc w:val="center"/>
              <w:rPr>
                <w:rFonts w:ascii="仿宋" w:hAnsi="仿宋" w:eastAsia="仿宋"/>
                <w:b/>
                <w:spacing w:val="20"/>
                <w:sz w:val="21"/>
                <w:szCs w:val="21"/>
              </w:rPr>
            </w:pPr>
          </w:p>
        </w:tc>
      </w:tr>
      <w:tr w14:paraId="767D9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Align w:val="center"/>
          </w:tcPr>
          <w:p w14:paraId="2501A500">
            <w:pPr>
              <w:widowControl/>
              <w:jc w:val="left"/>
              <w:rPr>
                <w:rFonts w:hint="default" w:ascii="仿宋" w:hAnsi="仿宋" w:eastAsia="仿宋"/>
                <w:b/>
                <w:color w:val="FF0000"/>
                <w:spacing w:val="20"/>
                <w:sz w:val="18"/>
                <w:szCs w:val="18"/>
                <w:lang w:val="en-US" w:eastAsia="zh-CN"/>
              </w:rPr>
            </w:pPr>
            <w:r>
              <w:rPr>
                <w:rFonts w:hint="eastAsia" w:ascii="仿宋" w:hAnsi="仿宋" w:eastAsia="仿宋"/>
                <w:b/>
                <w:color w:val="FF0000"/>
                <w:spacing w:val="20"/>
                <w:sz w:val="18"/>
                <w:szCs w:val="18"/>
                <w:lang w:val="en-US" w:eastAsia="zh-CN"/>
              </w:rPr>
              <w:t>示例课程</w:t>
            </w:r>
          </w:p>
        </w:tc>
        <w:tc>
          <w:tcPr>
            <w:tcW w:w="1025" w:type="dxa"/>
            <w:vAlign w:val="center"/>
          </w:tcPr>
          <w:p w14:paraId="4B23BF99">
            <w:pPr>
              <w:widowControl/>
              <w:jc w:val="center"/>
              <w:rPr>
                <w:rFonts w:ascii="仿宋" w:hAnsi="仿宋" w:eastAsia="仿宋"/>
                <w:b/>
                <w:color w:val="FF0000"/>
                <w:spacing w:val="20"/>
                <w:sz w:val="18"/>
                <w:szCs w:val="18"/>
              </w:rPr>
            </w:pPr>
          </w:p>
        </w:tc>
        <w:tc>
          <w:tcPr>
            <w:tcW w:w="488" w:type="dxa"/>
            <w:vAlign w:val="center"/>
          </w:tcPr>
          <w:p w14:paraId="357A3F2D">
            <w:pPr>
              <w:widowControl/>
              <w:jc w:val="center"/>
              <w:rPr>
                <w:rFonts w:hint="eastAsia" w:ascii="仿宋" w:hAnsi="仿宋" w:eastAsia="仿宋"/>
                <w:b/>
                <w:color w:val="FF0000"/>
                <w:spacing w:val="20"/>
                <w:sz w:val="18"/>
                <w:szCs w:val="18"/>
                <w:lang w:val="en-US" w:eastAsia="zh-CN"/>
              </w:rPr>
            </w:pPr>
            <w:r>
              <w:rPr>
                <w:rFonts w:hint="eastAsia" w:ascii="仿宋" w:hAnsi="仿宋" w:eastAsia="仿宋"/>
                <w:b/>
                <w:color w:val="FF0000"/>
                <w:spacing w:val="20"/>
                <w:sz w:val="18"/>
                <w:szCs w:val="18"/>
                <w:lang w:val="en-US" w:eastAsia="zh-CN"/>
              </w:rPr>
              <w:t>2</w:t>
            </w:r>
          </w:p>
        </w:tc>
        <w:tc>
          <w:tcPr>
            <w:tcW w:w="600" w:type="dxa"/>
            <w:vAlign w:val="center"/>
          </w:tcPr>
          <w:p w14:paraId="2DD67F16">
            <w:pPr>
              <w:widowControl/>
              <w:jc w:val="center"/>
              <w:rPr>
                <w:rFonts w:hint="default" w:ascii="仿宋" w:hAnsi="仿宋" w:eastAsia="仿宋"/>
                <w:b/>
                <w:color w:val="FF0000"/>
                <w:spacing w:val="20"/>
                <w:sz w:val="18"/>
                <w:szCs w:val="18"/>
                <w:lang w:val="en-US" w:eastAsia="zh-CN"/>
              </w:rPr>
            </w:pPr>
            <w:r>
              <w:rPr>
                <w:rFonts w:hint="eastAsia" w:ascii="仿宋" w:hAnsi="仿宋" w:eastAsia="仿宋"/>
                <w:b/>
                <w:color w:val="FF0000"/>
                <w:spacing w:val="20"/>
                <w:sz w:val="18"/>
                <w:szCs w:val="18"/>
                <w:lang w:val="en-US" w:eastAsia="zh-CN"/>
              </w:rPr>
              <w:t>32</w:t>
            </w:r>
          </w:p>
        </w:tc>
        <w:tc>
          <w:tcPr>
            <w:tcW w:w="737" w:type="dxa"/>
            <w:vAlign w:val="center"/>
          </w:tcPr>
          <w:p w14:paraId="759F3F16">
            <w:pPr>
              <w:widowControl/>
              <w:jc w:val="center"/>
              <w:rPr>
                <w:rFonts w:hint="default" w:ascii="仿宋" w:hAnsi="仿宋" w:eastAsia="仿宋"/>
                <w:b/>
                <w:color w:val="FF0000"/>
                <w:spacing w:val="20"/>
                <w:sz w:val="18"/>
                <w:szCs w:val="18"/>
                <w:lang w:val="en-US" w:eastAsia="zh-CN"/>
              </w:rPr>
            </w:pPr>
            <w:r>
              <w:rPr>
                <w:rFonts w:hint="eastAsia" w:ascii="仿宋" w:hAnsi="仿宋" w:eastAsia="仿宋"/>
                <w:b/>
                <w:color w:val="FF0000"/>
                <w:spacing w:val="20"/>
                <w:sz w:val="18"/>
                <w:szCs w:val="18"/>
                <w:lang w:val="en-US" w:eastAsia="zh-CN"/>
              </w:rPr>
              <w:t>张三</w:t>
            </w:r>
          </w:p>
        </w:tc>
        <w:tc>
          <w:tcPr>
            <w:tcW w:w="713" w:type="dxa"/>
            <w:vAlign w:val="center"/>
          </w:tcPr>
          <w:p w14:paraId="6AA78399">
            <w:pPr>
              <w:widowControl/>
              <w:jc w:val="center"/>
              <w:rPr>
                <w:rFonts w:hint="default" w:ascii="仿宋" w:hAnsi="仿宋" w:eastAsia="仿宋"/>
                <w:b/>
                <w:color w:val="FF0000"/>
                <w:spacing w:val="20"/>
                <w:sz w:val="18"/>
                <w:szCs w:val="18"/>
                <w:lang w:val="en-US" w:eastAsia="zh-CN"/>
              </w:rPr>
            </w:pPr>
            <w:r>
              <w:rPr>
                <w:rFonts w:hint="eastAsia" w:ascii="仿宋" w:hAnsi="仿宋" w:eastAsia="仿宋"/>
                <w:b/>
                <w:color w:val="FF0000"/>
                <w:spacing w:val="20"/>
                <w:sz w:val="18"/>
                <w:szCs w:val="18"/>
                <w:lang w:val="en-US" w:eastAsia="zh-CN"/>
              </w:rPr>
              <w:t>32</w:t>
            </w:r>
          </w:p>
        </w:tc>
        <w:tc>
          <w:tcPr>
            <w:tcW w:w="625" w:type="dxa"/>
            <w:vAlign w:val="center"/>
          </w:tcPr>
          <w:p w14:paraId="6B4B37E0">
            <w:pPr>
              <w:widowControl/>
              <w:jc w:val="center"/>
              <w:rPr>
                <w:rFonts w:ascii="仿宋" w:hAnsi="仿宋" w:eastAsia="仿宋"/>
                <w:b/>
                <w:color w:val="FF0000"/>
                <w:spacing w:val="20"/>
                <w:sz w:val="18"/>
                <w:szCs w:val="18"/>
              </w:rPr>
            </w:pPr>
          </w:p>
        </w:tc>
        <w:tc>
          <w:tcPr>
            <w:tcW w:w="725" w:type="dxa"/>
            <w:vAlign w:val="center"/>
          </w:tcPr>
          <w:p w14:paraId="3FAB6E15">
            <w:pPr>
              <w:widowControl/>
              <w:jc w:val="center"/>
              <w:rPr>
                <w:rFonts w:hint="default" w:ascii="仿宋" w:hAnsi="仿宋" w:eastAsia="仿宋"/>
                <w:b/>
                <w:color w:val="FF0000"/>
                <w:spacing w:val="20"/>
                <w:sz w:val="18"/>
                <w:szCs w:val="18"/>
                <w:lang w:val="en-US" w:eastAsia="zh-CN"/>
              </w:rPr>
            </w:pPr>
            <w:r>
              <w:rPr>
                <w:rFonts w:hint="eastAsia" w:ascii="仿宋" w:hAnsi="仿宋" w:eastAsia="仿宋"/>
                <w:b/>
                <w:color w:val="FF0000"/>
                <w:spacing w:val="20"/>
                <w:sz w:val="18"/>
                <w:szCs w:val="18"/>
                <w:lang w:val="en-US" w:eastAsia="zh-CN"/>
              </w:rPr>
              <w:t>16</w:t>
            </w:r>
          </w:p>
        </w:tc>
        <w:tc>
          <w:tcPr>
            <w:tcW w:w="712" w:type="dxa"/>
            <w:vAlign w:val="center"/>
          </w:tcPr>
          <w:p w14:paraId="2EAAF013">
            <w:pPr>
              <w:widowControl/>
              <w:jc w:val="center"/>
              <w:rPr>
                <w:rFonts w:hint="default" w:ascii="仿宋" w:hAnsi="仿宋" w:eastAsia="仿宋"/>
                <w:b/>
                <w:color w:val="FF0000"/>
                <w:spacing w:val="20"/>
                <w:sz w:val="18"/>
                <w:szCs w:val="18"/>
                <w:lang w:val="en-US" w:eastAsia="zh-CN"/>
              </w:rPr>
            </w:pPr>
            <w:r>
              <w:rPr>
                <w:rFonts w:hint="eastAsia" w:ascii="仿宋" w:hAnsi="仿宋" w:eastAsia="仿宋"/>
                <w:b/>
                <w:color w:val="FF0000"/>
                <w:spacing w:val="20"/>
                <w:sz w:val="18"/>
                <w:szCs w:val="18"/>
                <w:lang w:val="en-US" w:eastAsia="zh-CN"/>
              </w:rPr>
              <w:t>16</w:t>
            </w:r>
          </w:p>
        </w:tc>
        <w:tc>
          <w:tcPr>
            <w:tcW w:w="614" w:type="dxa"/>
            <w:vAlign w:val="center"/>
          </w:tcPr>
          <w:p w14:paraId="6EC8D793">
            <w:pPr>
              <w:widowControl/>
              <w:jc w:val="center"/>
              <w:rPr>
                <w:rFonts w:hint="eastAsia" w:ascii="仿宋" w:hAnsi="仿宋" w:eastAsia="仿宋"/>
                <w:b/>
                <w:color w:val="FF0000"/>
                <w:spacing w:val="20"/>
                <w:sz w:val="18"/>
                <w:szCs w:val="18"/>
                <w:lang w:val="en-US" w:eastAsia="zh-CN"/>
              </w:rPr>
            </w:pPr>
            <w:r>
              <w:rPr>
                <w:rFonts w:hint="eastAsia" w:ascii="仿宋" w:hAnsi="仿宋" w:eastAsia="仿宋"/>
                <w:b/>
                <w:color w:val="FF0000"/>
                <w:spacing w:val="20"/>
                <w:sz w:val="18"/>
                <w:szCs w:val="18"/>
                <w:lang w:val="en-US" w:eastAsia="zh-CN"/>
              </w:rPr>
              <w:t>考试</w:t>
            </w:r>
          </w:p>
        </w:tc>
        <w:tc>
          <w:tcPr>
            <w:tcW w:w="824" w:type="dxa"/>
            <w:vAlign w:val="center"/>
          </w:tcPr>
          <w:p w14:paraId="2A0317F7">
            <w:pPr>
              <w:widowControl/>
              <w:jc w:val="center"/>
              <w:rPr>
                <w:rFonts w:hint="default" w:ascii="仿宋" w:hAnsi="仿宋" w:eastAsia="仿宋"/>
                <w:b/>
                <w:color w:val="FF0000"/>
                <w:spacing w:val="20"/>
                <w:sz w:val="18"/>
                <w:szCs w:val="18"/>
                <w:lang w:val="en-US" w:eastAsia="zh-CN"/>
              </w:rPr>
            </w:pPr>
            <w:r>
              <w:rPr>
                <w:rFonts w:hint="eastAsia" w:ascii="仿宋" w:hAnsi="仿宋" w:eastAsia="仿宋"/>
                <w:b/>
                <w:color w:val="FF0000"/>
                <w:spacing w:val="20"/>
                <w:sz w:val="18"/>
                <w:szCs w:val="18"/>
                <w:lang w:val="en-US" w:eastAsia="zh-CN"/>
              </w:rPr>
              <w:t>xx学院</w:t>
            </w:r>
          </w:p>
        </w:tc>
        <w:tc>
          <w:tcPr>
            <w:tcW w:w="792" w:type="dxa"/>
            <w:vAlign w:val="center"/>
          </w:tcPr>
          <w:p w14:paraId="53BB386B">
            <w:pPr>
              <w:widowControl/>
              <w:jc w:val="center"/>
              <w:rPr>
                <w:rFonts w:hint="default" w:ascii="仿宋" w:hAnsi="仿宋" w:eastAsia="仿宋"/>
                <w:b/>
                <w:color w:val="FF0000"/>
                <w:spacing w:val="20"/>
                <w:sz w:val="18"/>
                <w:szCs w:val="18"/>
                <w:lang w:val="en-US" w:eastAsia="zh-CN"/>
              </w:rPr>
            </w:pPr>
            <w:r>
              <w:rPr>
                <w:rFonts w:hint="eastAsia" w:ascii="仿宋" w:hAnsi="仿宋" w:eastAsia="仿宋"/>
                <w:b/>
                <w:color w:val="FF0000"/>
                <w:spacing w:val="20"/>
                <w:sz w:val="18"/>
                <w:szCs w:val="18"/>
                <w:lang w:val="en-US" w:eastAsia="zh-CN"/>
              </w:rPr>
              <w:t>2-1，周六上午34节</w:t>
            </w:r>
          </w:p>
        </w:tc>
        <w:tc>
          <w:tcPr>
            <w:tcW w:w="792" w:type="dxa"/>
            <w:vAlign w:val="center"/>
          </w:tcPr>
          <w:p w14:paraId="2ADA447C">
            <w:pPr>
              <w:widowControl/>
              <w:jc w:val="center"/>
              <w:rPr>
                <w:rFonts w:hint="default" w:ascii="仿宋" w:hAnsi="仿宋" w:eastAsia="仿宋"/>
                <w:b/>
                <w:color w:val="FF0000"/>
                <w:spacing w:val="20"/>
                <w:sz w:val="18"/>
                <w:szCs w:val="18"/>
                <w:lang w:val="en-US" w:eastAsia="zh-CN"/>
              </w:rPr>
            </w:pPr>
            <w:r>
              <w:rPr>
                <w:rFonts w:hint="eastAsia" w:ascii="仿宋" w:hAnsi="仿宋" w:eastAsia="仿宋"/>
                <w:b/>
                <w:color w:val="FF0000"/>
                <w:spacing w:val="20"/>
                <w:sz w:val="18"/>
                <w:szCs w:val="18"/>
                <w:lang w:val="en-US" w:eastAsia="zh-CN"/>
              </w:rPr>
              <w:t>1-8周，张三</w:t>
            </w:r>
          </w:p>
        </w:tc>
      </w:tr>
      <w:tr w14:paraId="0E507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shd w:val="clear" w:color="auto" w:fill="auto"/>
            <w:vAlign w:val="center"/>
          </w:tcPr>
          <w:p w14:paraId="7EF8EDB9">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可持续发展导论</w:t>
            </w:r>
          </w:p>
        </w:tc>
        <w:tc>
          <w:tcPr>
            <w:tcW w:w="1025" w:type="dxa"/>
            <w:shd w:val="clear" w:color="auto" w:fill="auto"/>
            <w:vAlign w:val="center"/>
          </w:tcPr>
          <w:p w14:paraId="2EC4C60C">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lang w:val="en-US" w:eastAsia="zh-CN"/>
              </w:rPr>
              <w:t>V1424012B</w:t>
            </w:r>
          </w:p>
        </w:tc>
        <w:tc>
          <w:tcPr>
            <w:tcW w:w="488" w:type="dxa"/>
            <w:shd w:val="clear" w:color="auto" w:fill="auto"/>
            <w:vAlign w:val="center"/>
          </w:tcPr>
          <w:p w14:paraId="4DEE8D4E">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2</w:t>
            </w:r>
          </w:p>
        </w:tc>
        <w:tc>
          <w:tcPr>
            <w:tcW w:w="600" w:type="dxa"/>
            <w:shd w:val="clear" w:color="auto" w:fill="auto"/>
            <w:vAlign w:val="center"/>
          </w:tcPr>
          <w:p w14:paraId="53AFC619">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32</w:t>
            </w:r>
          </w:p>
        </w:tc>
        <w:tc>
          <w:tcPr>
            <w:tcW w:w="737" w:type="dxa"/>
            <w:shd w:val="clear" w:color="auto" w:fill="auto"/>
            <w:vAlign w:val="center"/>
          </w:tcPr>
          <w:p w14:paraId="090CC8DE">
            <w:pPr>
              <w:widowControl/>
              <w:jc w:val="center"/>
              <w:rPr>
                <w:rFonts w:hint="default"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lang w:val="en-US" w:eastAsia="zh-CN" w:bidi="ar-SA"/>
              </w:rPr>
              <w:t>肖志强</w:t>
            </w:r>
          </w:p>
        </w:tc>
        <w:tc>
          <w:tcPr>
            <w:tcW w:w="713" w:type="dxa"/>
            <w:shd w:val="clear" w:color="auto" w:fill="auto"/>
            <w:vAlign w:val="center"/>
          </w:tcPr>
          <w:p w14:paraId="46F2252C">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32</w:t>
            </w:r>
          </w:p>
        </w:tc>
        <w:tc>
          <w:tcPr>
            <w:tcW w:w="625" w:type="dxa"/>
            <w:shd w:val="clear" w:color="auto" w:fill="auto"/>
            <w:vAlign w:val="center"/>
          </w:tcPr>
          <w:p w14:paraId="1A3A25F2">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0</w:t>
            </w:r>
          </w:p>
        </w:tc>
        <w:tc>
          <w:tcPr>
            <w:tcW w:w="725" w:type="dxa"/>
            <w:shd w:val="clear" w:color="auto" w:fill="auto"/>
            <w:vAlign w:val="center"/>
          </w:tcPr>
          <w:p w14:paraId="43CE6B63">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12</w:t>
            </w:r>
          </w:p>
        </w:tc>
        <w:tc>
          <w:tcPr>
            <w:tcW w:w="712" w:type="dxa"/>
            <w:shd w:val="clear" w:color="auto" w:fill="auto"/>
            <w:vAlign w:val="center"/>
          </w:tcPr>
          <w:p w14:paraId="60FA90D3">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20</w:t>
            </w:r>
          </w:p>
        </w:tc>
        <w:tc>
          <w:tcPr>
            <w:tcW w:w="614" w:type="dxa"/>
            <w:shd w:val="clear" w:color="auto" w:fill="auto"/>
            <w:vAlign w:val="center"/>
          </w:tcPr>
          <w:p w14:paraId="0792E305">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考查</w:t>
            </w:r>
          </w:p>
        </w:tc>
        <w:tc>
          <w:tcPr>
            <w:tcW w:w="824" w:type="dxa"/>
            <w:vAlign w:val="center"/>
          </w:tcPr>
          <w:p w14:paraId="291BEDAA">
            <w:pPr>
              <w:widowControl/>
              <w:jc w:val="center"/>
              <w:rPr>
                <w:rFonts w:hint="eastAsia" w:ascii="仿宋" w:hAnsi="仿宋" w:eastAsia="仿宋" w:cs="仿宋"/>
                <w:b w:val="0"/>
                <w:bCs/>
                <w:color w:val="auto"/>
                <w:spacing w:val="20"/>
                <w:sz w:val="18"/>
                <w:szCs w:val="18"/>
                <w:lang w:val="en-US" w:eastAsia="zh-CN"/>
              </w:rPr>
            </w:pPr>
            <w:r>
              <w:rPr>
                <w:rFonts w:hint="eastAsia" w:ascii="仿宋" w:hAnsi="仿宋" w:eastAsia="仿宋" w:cs="仿宋"/>
                <w:b w:val="0"/>
                <w:bCs/>
                <w:color w:val="auto"/>
                <w:spacing w:val="20"/>
                <w:sz w:val="18"/>
                <w:szCs w:val="18"/>
                <w:lang w:val="en-US" w:eastAsia="zh-CN"/>
              </w:rPr>
              <w:t>华侨学院</w:t>
            </w:r>
          </w:p>
        </w:tc>
        <w:tc>
          <w:tcPr>
            <w:tcW w:w="792" w:type="dxa"/>
            <w:shd w:val="clear" w:color="auto" w:fill="auto"/>
            <w:vAlign w:val="center"/>
          </w:tcPr>
          <w:p w14:paraId="2F796B19">
            <w:pPr>
              <w:widowControl/>
              <w:jc w:val="center"/>
              <w:rPr>
                <w:rFonts w:hint="eastAsia" w:ascii="仿宋" w:hAnsi="仿宋" w:eastAsia="仿宋" w:cs="仿宋"/>
                <w:b w:val="0"/>
                <w:bCs/>
                <w:color w:val="auto"/>
                <w:spacing w:val="20"/>
                <w:sz w:val="18"/>
                <w:szCs w:val="18"/>
              </w:rPr>
            </w:pPr>
            <w:r>
              <w:rPr>
                <w:rFonts w:hint="eastAsia" w:ascii="仿宋" w:hAnsi="仿宋" w:eastAsia="仿宋" w:cs="仿宋"/>
                <w:b w:val="0"/>
                <w:bCs/>
                <w:color w:val="FF0000"/>
                <w:spacing w:val="20"/>
                <w:sz w:val="18"/>
                <w:szCs w:val="18"/>
                <w:lang w:val="en-US" w:eastAsia="zh-CN"/>
              </w:rPr>
              <w:t>2</w:t>
            </w:r>
            <w:r>
              <w:rPr>
                <w:rFonts w:hint="eastAsia" w:ascii="仿宋" w:hAnsi="仿宋" w:eastAsia="仿宋" w:cs="仿宋"/>
                <w:b w:val="0"/>
                <w:bCs/>
                <w:color w:val="auto"/>
                <w:spacing w:val="20"/>
                <w:sz w:val="18"/>
                <w:szCs w:val="18"/>
              </w:rPr>
              <w:t>-1</w:t>
            </w:r>
          </w:p>
          <w:p w14:paraId="6AC5E3BD">
            <w:pPr>
              <w:widowControl/>
              <w:jc w:val="center"/>
              <w:rPr>
                <w:rFonts w:hint="eastAsia" w:ascii="仿宋" w:hAnsi="仿宋" w:eastAsia="仿宋" w:cs="仿宋"/>
                <w:b w:val="0"/>
                <w:bCs/>
                <w:color w:val="auto"/>
                <w:spacing w:val="20"/>
                <w:sz w:val="18"/>
                <w:szCs w:val="18"/>
                <w:lang w:val="en-US" w:eastAsia="zh-CN"/>
              </w:rPr>
            </w:pPr>
            <w:r>
              <w:rPr>
                <w:rFonts w:hint="eastAsia" w:ascii="仿宋" w:hAnsi="仿宋" w:eastAsia="仿宋" w:cs="仿宋"/>
                <w:b w:val="0"/>
                <w:bCs/>
                <w:color w:val="auto"/>
                <w:spacing w:val="20"/>
                <w:sz w:val="18"/>
                <w:szCs w:val="18"/>
                <w:lang w:val="en-US" w:eastAsia="zh-CN"/>
              </w:rPr>
              <w:t>周六34节</w:t>
            </w:r>
          </w:p>
        </w:tc>
        <w:tc>
          <w:tcPr>
            <w:tcW w:w="792" w:type="dxa"/>
            <w:vAlign w:val="center"/>
          </w:tcPr>
          <w:p w14:paraId="2617C11A">
            <w:pPr>
              <w:widowControl/>
              <w:jc w:val="center"/>
              <w:rPr>
                <w:rFonts w:ascii="仿宋" w:hAnsi="仿宋" w:eastAsia="仿宋"/>
                <w:b/>
                <w:spacing w:val="20"/>
                <w:sz w:val="18"/>
                <w:szCs w:val="18"/>
              </w:rPr>
            </w:pPr>
            <w:r>
              <w:rPr>
                <w:rFonts w:hint="eastAsia" w:ascii="仿宋" w:hAnsi="仿宋" w:eastAsia="仿宋"/>
                <w:b/>
                <w:spacing w:val="20"/>
                <w:sz w:val="18"/>
                <w:szCs w:val="18"/>
              </w:rPr>
              <w:t>1-</w:t>
            </w:r>
            <w:r>
              <w:rPr>
                <w:rFonts w:hint="eastAsia" w:ascii="仿宋" w:hAnsi="仿宋" w:eastAsia="仿宋"/>
                <w:b/>
                <w:spacing w:val="20"/>
                <w:sz w:val="18"/>
                <w:szCs w:val="18"/>
                <w:lang w:val="en-US" w:eastAsia="zh-CN"/>
              </w:rPr>
              <w:t>10周，</w:t>
            </w:r>
            <w:r>
              <w:rPr>
                <w:rFonts w:hint="eastAsia" w:ascii="仿宋" w:hAnsi="仿宋" w:eastAsia="仿宋"/>
                <w:b/>
                <w:spacing w:val="20"/>
                <w:sz w:val="18"/>
                <w:szCs w:val="18"/>
              </w:rPr>
              <w:t>肖志强</w:t>
            </w:r>
          </w:p>
        </w:tc>
      </w:tr>
      <w:tr w14:paraId="68E72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shd w:val="clear" w:color="auto" w:fill="auto"/>
            <w:vAlign w:val="center"/>
          </w:tcPr>
          <w:p w14:paraId="26FE8031">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气候经济学</w:t>
            </w:r>
          </w:p>
        </w:tc>
        <w:tc>
          <w:tcPr>
            <w:tcW w:w="1025" w:type="dxa"/>
            <w:shd w:val="clear" w:color="auto" w:fill="auto"/>
            <w:vAlign w:val="center"/>
          </w:tcPr>
          <w:p w14:paraId="0C889E89">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lang w:val="en-US" w:eastAsia="zh-CN"/>
              </w:rPr>
              <w:t>V1424022B</w:t>
            </w:r>
          </w:p>
        </w:tc>
        <w:tc>
          <w:tcPr>
            <w:tcW w:w="488" w:type="dxa"/>
            <w:shd w:val="clear" w:color="auto" w:fill="auto"/>
            <w:vAlign w:val="center"/>
          </w:tcPr>
          <w:p w14:paraId="7036B33A">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2</w:t>
            </w:r>
          </w:p>
        </w:tc>
        <w:tc>
          <w:tcPr>
            <w:tcW w:w="600" w:type="dxa"/>
            <w:shd w:val="clear" w:color="auto" w:fill="auto"/>
            <w:vAlign w:val="center"/>
          </w:tcPr>
          <w:p w14:paraId="7D86A084">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32</w:t>
            </w:r>
          </w:p>
        </w:tc>
        <w:tc>
          <w:tcPr>
            <w:tcW w:w="737" w:type="dxa"/>
            <w:shd w:val="clear" w:color="auto" w:fill="auto"/>
            <w:vAlign w:val="center"/>
          </w:tcPr>
          <w:p w14:paraId="0F5CB68A">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lang w:val="en-US" w:eastAsia="zh-CN" w:bidi="ar-SA"/>
              </w:rPr>
              <w:t>朱雪迎</w:t>
            </w:r>
          </w:p>
        </w:tc>
        <w:tc>
          <w:tcPr>
            <w:tcW w:w="713" w:type="dxa"/>
            <w:shd w:val="clear" w:color="auto" w:fill="auto"/>
            <w:vAlign w:val="center"/>
          </w:tcPr>
          <w:p w14:paraId="447DACC3">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32</w:t>
            </w:r>
          </w:p>
        </w:tc>
        <w:tc>
          <w:tcPr>
            <w:tcW w:w="625" w:type="dxa"/>
            <w:shd w:val="clear" w:color="auto" w:fill="auto"/>
            <w:vAlign w:val="center"/>
          </w:tcPr>
          <w:p w14:paraId="27B58A50">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0</w:t>
            </w:r>
          </w:p>
        </w:tc>
        <w:tc>
          <w:tcPr>
            <w:tcW w:w="725" w:type="dxa"/>
            <w:shd w:val="clear" w:color="auto" w:fill="auto"/>
            <w:vAlign w:val="center"/>
          </w:tcPr>
          <w:p w14:paraId="7A87E857">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12</w:t>
            </w:r>
          </w:p>
        </w:tc>
        <w:tc>
          <w:tcPr>
            <w:tcW w:w="712" w:type="dxa"/>
            <w:shd w:val="clear" w:color="auto" w:fill="auto"/>
            <w:vAlign w:val="center"/>
          </w:tcPr>
          <w:p w14:paraId="4AE9442C">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20</w:t>
            </w:r>
          </w:p>
        </w:tc>
        <w:tc>
          <w:tcPr>
            <w:tcW w:w="614" w:type="dxa"/>
            <w:shd w:val="clear" w:color="auto" w:fill="auto"/>
            <w:vAlign w:val="center"/>
          </w:tcPr>
          <w:p w14:paraId="71E91B7B">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考查</w:t>
            </w:r>
          </w:p>
        </w:tc>
        <w:tc>
          <w:tcPr>
            <w:tcW w:w="824" w:type="dxa"/>
            <w:vAlign w:val="center"/>
          </w:tcPr>
          <w:p w14:paraId="16D0332D">
            <w:pPr>
              <w:widowControl/>
              <w:jc w:val="center"/>
              <w:rPr>
                <w:rFonts w:hint="eastAsia" w:ascii="仿宋" w:hAnsi="仿宋" w:eastAsia="仿宋" w:cs="仿宋"/>
                <w:b w:val="0"/>
                <w:bCs/>
                <w:color w:val="auto"/>
                <w:spacing w:val="20"/>
                <w:sz w:val="18"/>
                <w:szCs w:val="18"/>
              </w:rPr>
            </w:pPr>
            <w:r>
              <w:rPr>
                <w:rFonts w:hint="eastAsia" w:ascii="仿宋" w:hAnsi="仿宋" w:eastAsia="仿宋" w:cs="仿宋"/>
                <w:b w:val="0"/>
                <w:bCs/>
                <w:color w:val="auto"/>
                <w:spacing w:val="20"/>
                <w:sz w:val="18"/>
                <w:szCs w:val="18"/>
                <w:lang w:val="en-US" w:eastAsia="zh-CN"/>
              </w:rPr>
              <w:t>华侨学院</w:t>
            </w:r>
          </w:p>
        </w:tc>
        <w:tc>
          <w:tcPr>
            <w:tcW w:w="792" w:type="dxa"/>
            <w:shd w:val="clear" w:color="auto" w:fill="auto"/>
            <w:vAlign w:val="center"/>
          </w:tcPr>
          <w:p w14:paraId="4C47F1A1">
            <w:pPr>
              <w:widowControl/>
              <w:jc w:val="center"/>
              <w:rPr>
                <w:rFonts w:hint="eastAsia" w:ascii="仿宋" w:hAnsi="仿宋" w:eastAsia="仿宋" w:cs="仿宋"/>
                <w:b w:val="0"/>
                <w:bCs/>
                <w:color w:val="auto"/>
                <w:spacing w:val="20"/>
                <w:sz w:val="18"/>
                <w:szCs w:val="18"/>
              </w:rPr>
            </w:pPr>
            <w:r>
              <w:rPr>
                <w:rFonts w:hint="eastAsia" w:ascii="仿宋" w:hAnsi="仿宋" w:eastAsia="仿宋" w:cs="仿宋"/>
                <w:b w:val="0"/>
                <w:bCs/>
                <w:color w:val="FF0000"/>
                <w:spacing w:val="20"/>
                <w:sz w:val="18"/>
                <w:szCs w:val="18"/>
                <w:lang w:val="en-US" w:eastAsia="zh-CN"/>
              </w:rPr>
              <w:t>2</w:t>
            </w:r>
            <w:r>
              <w:rPr>
                <w:rFonts w:hint="eastAsia" w:ascii="仿宋" w:hAnsi="仿宋" w:eastAsia="仿宋" w:cs="仿宋"/>
                <w:b w:val="0"/>
                <w:bCs/>
                <w:color w:val="auto"/>
                <w:spacing w:val="20"/>
                <w:sz w:val="18"/>
                <w:szCs w:val="18"/>
              </w:rPr>
              <w:t>-1</w:t>
            </w:r>
          </w:p>
          <w:p w14:paraId="60D6DFE6">
            <w:pPr>
              <w:widowControl/>
              <w:jc w:val="center"/>
              <w:rPr>
                <w:rFonts w:hint="eastAsia" w:ascii="仿宋" w:hAnsi="仿宋" w:eastAsia="仿宋" w:cs="仿宋"/>
                <w:b w:val="0"/>
                <w:bCs/>
                <w:color w:val="auto"/>
                <w:spacing w:val="20"/>
                <w:sz w:val="18"/>
                <w:szCs w:val="18"/>
                <w:lang w:val="en-US" w:eastAsia="zh-CN"/>
              </w:rPr>
            </w:pPr>
            <w:r>
              <w:rPr>
                <w:rFonts w:hint="eastAsia" w:ascii="仿宋" w:hAnsi="仿宋" w:eastAsia="仿宋"/>
                <w:b/>
                <w:color w:val="auto"/>
                <w:spacing w:val="20"/>
                <w:sz w:val="18"/>
                <w:szCs w:val="18"/>
                <w:lang w:val="en-US" w:eastAsia="zh-CN"/>
              </w:rPr>
              <w:t>周日上午34节</w:t>
            </w:r>
          </w:p>
        </w:tc>
        <w:tc>
          <w:tcPr>
            <w:tcW w:w="792" w:type="dxa"/>
            <w:vAlign w:val="center"/>
          </w:tcPr>
          <w:p w14:paraId="04C8F860">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1-10周，朱雪迎</w:t>
            </w:r>
          </w:p>
        </w:tc>
      </w:tr>
      <w:tr w14:paraId="3D482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shd w:val="clear" w:color="auto" w:fill="auto"/>
            <w:vAlign w:val="center"/>
          </w:tcPr>
          <w:p w14:paraId="470FFC0A">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ESG信息披露</w:t>
            </w:r>
          </w:p>
        </w:tc>
        <w:tc>
          <w:tcPr>
            <w:tcW w:w="1025" w:type="dxa"/>
            <w:shd w:val="clear" w:color="auto" w:fill="auto"/>
            <w:vAlign w:val="center"/>
          </w:tcPr>
          <w:p w14:paraId="4B44DC55">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lang w:val="en-US" w:eastAsia="zh-CN"/>
              </w:rPr>
              <w:t>V1424032B</w:t>
            </w:r>
          </w:p>
        </w:tc>
        <w:tc>
          <w:tcPr>
            <w:tcW w:w="488" w:type="dxa"/>
            <w:shd w:val="clear" w:color="auto" w:fill="auto"/>
            <w:vAlign w:val="center"/>
          </w:tcPr>
          <w:p w14:paraId="2BC57468">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2</w:t>
            </w:r>
          </w:p>
        </w:tc>
        <w:tc>
          <w:tcPr>
            <w:tcW w:w="600" w:type="dxa"/>
            <w:shd w:val="clear" w:color="auto" w:fill="auto"/>
            <w:vAlign w:val="center"/>
          </w:tcPr>
          <w:p w14:paraId="510F9737">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32</w:t>
            </w:r>
          </w:p>
        </w:tc>
        <w:tc>
          <w:tcPr>
            <w:tcW w:w="737" w:type="dxa"/>
            <w:shd w:val="clear" w:color="auto" w:fill="auto"/>
            <w:vAlign w:val="center"/>
          </w:tcPr>
          <w:p w14:paraId="527AFDB3">
            <w:pPr>
              <w:widowControl/>
              <w:jc w:val="both"/>
              <w:rPr>
                <w:rFonts w:hint="default" w:ascii="仿宋" w:hAnsi="仿宋" w:eastAsia="仿宋" w:cs="仿宋"/>
                <w:b/>
                <w:bCs w:val="0"/>
                <w:color w:val="FF0000"/>
                <w:spacing w:val="20"/>
                <w:sz w:val="18"/>
                <w:szCs w:val="18"/>
                <w:lang w:val="en-US" w:eastAsia="zh-CN" w:bidi="ar-SA"/>
              </w:rPr>
            </w:pPr>
            <w:r>
              <w:rPr>
                <w:rFonts w:hint="eastAsia" w:ascii="仿宋" w:hAnsi="仿宋" w:eastAsia="仿宋" w:cs="仿宋"/>
                <w:b w:val="0"/>
                <w:bCs/>
                <w:color w:val="auto"/>
                <w:spacing w:val="20"/>
                <w:sz w:val="18"/>
                <w:szCs w:val="18"/>
                <w:lang w:val="en-US" w:eastAsia="zh-CN" w:bidi="ar-SA"/>
              </w:rPr>
              <w:t>郑铮</w:t>
            </w:r>
          </w:p>
        </w:tc>
        <w:tc>
          <w:tcPr>
            <w:tcW w:w="713" w:type="dxa"/>
            <w:shd w:val="clear" w:color="auto" w:fill="auto"/>
            <w:vAlign w:val="center"/>
          </w:tcPr>
          <w:p w14:paraId="1D047456">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16</w:t>
            </w:r>
          </w:p>
        </w:tc>
        <w:tc>
          <w:tcPr>
            <w:tcW w:w="625" w:type="dxa"/>
            <w:shd w:val="clear" w:color="auto" w:fill="auto"/>
            <w:vAlign w:val="center"/>
          </w:tcPr>
          <w:p w14:paraId="66E0B277">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16</w:t>
            </w:r>
          </w:p>
        </w:tc>
        <w:tc>
          <w:tcPr>
            <w:tcW w:w="725" w:type="dxa"/>
            <w:shd w:val="clear" w:color="auto" w:fill="auto"/>
            <w:vAlign w:val="center"/>
          </w:tcPr>
          <w:p w14:paraId="552B5F70">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16</w:t>
            </w:r>
          </w:p>
        </w:tc>
        <w:tc>
          <w:tcPr>
            <w:tcW w:w="712" w:type="dxa"/>
            <w:shd w:val="clear" w:color="auto" w:fill="auto"/>
            <w:vAlign w:val="center"/>
          </w:tcPr>
          <w:p w14:paraId="7BF92E37">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16</w:t>
            </w:r>
          </w:p>
        </w:tc>
        <w:tc>
          <w:tcPr>
            <w:tcW w:w="614" w:type="dxa"/>
            <w:shd w:val="clear" w:color="auto" w:fill="auto"/>
            <w:vAlign w:val="center"/>
          </w:tcPr>
          <w:p w14:paraId="216EEEB7">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考查</w:t>
            </w:r>
          </w:p>
        </w:tc>
        <w:tc>
          <w:tcPr>
            <w:tcW w:w="824" w:type="dxa"/>
            <w:vAlign w:val="center"/>
          </w:tcPr>
          <w:p w14:paraId="37C8AA56">
            <w:pPr>
              <w:widowControl/>
              <w:jc w:val="center"/>
              <w:rPr>
                <w:rFonts w:hint="eastAsia" w:ascii="仿宋" w:hAnsi="仿宋" w:eastAsia="仿宋" w:cs="仿宋"/>
                <w:b w:val="0"/>
                <w:bCs/>
                <w:color w:val="auto"/>
                <w:spacing w:val="20"/>
                <w:sz w:val="18"/>
                <w:szCs w:val="18"/>
              </w:rPr>
            </w:pPr>
            <w:r>
              <w:rPr>
                <w:rFonts w:hint="eastAsia" w:ascii="仿宋" w:hAnsi="仿宋" w:eastAsia="仿宋" w:cs="仿宋"/>
                <w:b w:val="0"/>
                <w:bCs/>
                <w:color w:val="auto"/>
                <w:spacing w:val="20"/>
                <w:sz w:val="18"/>
                <w:szCs w:val="18"/>
                <w:lang w:val="en-US" w:eastAsia="zh-CN"/>
              </w:rPr>
              <w:t>华侨学院</w:t>
            </w:r>
          </w:p>
        </w:tc>
        <w:tc>
          <w:tcPr>
            <w:tcW w:w="792" w:type="dxa"/>
            <w:shd w:val="clear" w:color="auto" w:fill="auto"/>
            <w:vAlign w:val="center"/>
          </w:tcPr>
          <w:p w14:paraId="283B8680">
            <w:pPr>
              <w:widowControl/>
              <w:jc w:val="center"/>
              <w:rPr>
                <w:rFonts w:hint="default" w:ascii="仿宋" w:hAnsi="仿宋" w:eastAsia="仿宋" w:cs="仿宋"/>
                <w:b w:val="0"/>
                <w:bCs/>
                <w:color w:val="auto"/>
                <w:spacing w:val="20"/>
                <w:sz w:val="18"/>
                <w:szCs w:val="18"/>
                <w:lang w:val="en-US" w:eastAsia="zh-CN" w:bidi="ar-SA"/>
              </w:rPr>
            </w:pPr>
            <w:r>
              <w:rPr>
                <w:rFonts w:hint="eastAsia" w:ascii="仿宋" w:hAnsi="仿宋" w:eastAsia="仿宋" w:cs="仿宋"/>
                <w:b w:val="0"/>
                <w:bCs/>
                <w:color w:val="FF0000"/>
                <w:spacing w:val="20"/>
                <w:sz w:val="18"/>
                <w:szCs w:val="18"/>
                <w:lang w:val="en-US" w:eastAsia="zh-CN"/>
              </w:rPr>
              <w:t>2</w:t>
            </w:r>
            <w:r>
              <w:rPr>
                <w:rFonts w:hint="eastAsia" w:ascii="仿宋" w:hAnsi="仿宋" w:eastAsia="仿宋" w:cs="仿宋"/>
                <w:b w:val="0"/>
                <w:bCs/>
                <w:color w:val="auto"/>
                <w:spacing w:val="20"/>
                <w:sz w:val="18"/>
                <w:szCs w:val="18"/>
              </w:rPr>
              <w:t>-2</w:t>
            </w:r>
            <w:r>
              <w:rPr>
                <w:rFonts w:hint="eastAsia" w:ascii="仿宋" w:hAnsi="仿宋" w:eastAsia="仿宋" w:cs="仿宋"/>
                <w:b w:val="0"/>
                <w:bCs/>
                <w:color w:val="auto"/>
                <w:spacing w:val="20"/>
                <w:sz w:val="18"/>
                <w:szCs w:val="18"/>
                <w:lang w:eastAsia="zh-CN"/>
              </w:rPr>
              <w:t>，</w:t>
            </w:r>
            <w:r>
              <w:rPr>
                <w:rFonts w:hint="eastAsia" w:ascii="仿宋" w:hAnsi="仿宋" w:eastAsia="仿宋"/>
                <w:b/>
                <w:color w:val="auto"/>
                <w:spacing w:val="20"/>
                <w:sz w:val="18"/>
                <w:szCs w:val="18"/>
                <w:lang w:val="en-US" w:eastAsia="zh-CN"/>
              </w:rPr>
              <w:t>周六上午34节</w:t>
            </w:r>
          </w:p>
        </w:tc>
        <w:tc>
          <w:tcPr>
            <w:tcW w:w="792" w:type="dxa"/>
            <w:vAlign w:val="center"/>
          </w:tcPr>
          <w:p w14:paraId="045089E8">
            <w:pPr>
              <w:widowControl/>
              <w:jc w:val="center"/>
              <w:rPr>
                <w:rFonts w:hint="default" w:ascii="仿宋" w:hAnsi="仿宋" w:eastAsia="仿宋"/>
                <w:b/>
                <w:color w:val="auto"/>
                <w:spacing w:val="20"/>
                <w:sz w:val="18"/>
                <w:szCs w:val="18"/>
                <w:lang w:val="en-US" w:eastAsia="zh-CN"/>
              </w:rPr>
            </w:pPr>
            <w:r>
              <w:rPr>
                <w:rFonts w:hint="eastAsia" w:ascii="仿宋" w:hAnsi="仿宋" w:eastAsia="仿宋"/>
                <w:b/>
                <w:color w:val="auto"/>
                <w:spacing w:val="20"/>
                <w:sz w:val="18"/>
                <w:szCs w:val="18"/>
                <w:lang w:val="en-US" w:eastAsia="zh-CN"/>
              </w:rPr>
              <w:t>1-8周，郑铮</w:t>
            </w:r>
          </w:p>
        </w:tc>
      </w:tr>
      <w:tr w14:paraId="66FFE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shd w:val="clear" w:color="auto" w:fill="auto"/>
            <w:vAlign w:val="center"/>
          </w:tcPr>
          <w:p w14:paraId="3843C88A">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绿色金融</w:t>
            </w:r>
          </w:p>
        </w:tc>
        <w:tc>
          <w:tcPr>
            <w:tcW w:w="1025" w:type="dxa"/>
            <w:shd w:val="clear" w:color="auto" w:fill="auto"/>
            <w:vAlign w:val="center"/>
          </w:tcPr>
          <w:p w14:paraId="1B712316">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lang w:val="en-US" w:eastAsia="zh-CN"/>
              </w:rPr>
              <w:t>V1424042B</w:t>
            </w:r>
          </w:p>
        </w:tc>
        <w:tc>
          <w:tcPr>
            <w:tcW w:w="488" w:type="dxa"/>
            <w:shd w:val="clear" w:color="auto" w:fill="auto"/>
            <w:vAlign w:val="center"/>
          </w:tcPr>
          <w:p w14:paraId="5E5BCB5F">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2</w:t>
            </w:r>
          </w:p>
        </w:tc>
        <w:tc>
          <w:tcPr>
            <w:tcW w:w="600" w:type="dxa"/>
            <w:shd w:val="clear" w:color="auto" w:fill="auto"/>
            <w:vAlign w:val="center"/>
          </w:tcPr>
          <w:p w14:paraId="0295E730">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32</w:t>
            </w:r>
          </w:p>
        </w:tc>
        <w:tc>
          <w:tcPr>
            <w:tcW w:w="737" w:type="dxa"/>
            <w:shd w:val="clear" w:color="auto" w:fill="auto"/>
            <w:vAlign w:val="center"/>
          </w:tcPr>
          <w:p w14:paraId="5760AC37">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lang w:val="en-US" w:eastAsia="zh-CN" w:bidi="ar-SA"/>
              </w:rPr>
              <w:t>秦小舒</w:t>
            </w:r>
          </w:p>
        </w:tc>
        <w:tc>
          <w:tcPr>
            <w:tcW w:w="713" w:type="dxa"/>
            <w:shd w:val="clear" w:color="auto" w:fill="auto"/>
            <w:vAlign w:val="center"/>
          </w:tcPr>
          <w:p w14:paraId="546416B0">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32</w:t>
            </w:r>
          </w:p>
        </w:tc>
        <w:tc>
          <w:tcPr>
            <w:tcW w:w="625" w:type="dxa"/>
            <w:shd w:val="clear" w:color="auto" w:fill="auto"/>
            <w:vAlign w:val="center"/>
          </w:tcPr>
          <w:p w14:paraId="7198F484">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0</w:t>
            </w:r>
          </w:p>
        </w:tc>
        <w:tc>
          <w:tcPr>
            <w:tcW w:w="725" w:type="dxa"/>
            <w:shd w:val="clear" w:color="auto" w:fill="auto"/>
            <w:vAlign w:val="center"/>
          </w:tcPr>
          <w:p w14:paraId="13E95D9F">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12</w:t>
            </w:r>
          </w:p>
        </w:tc>
        <w:tc>
          <w:tcPr>
            <w:tcW w:w="712" w:type="dxa"/>
            <w:shd w:val="clear" w:color="auto" w:fill="auto"/>
            <w:vAlign w:val="center"/>
          </w:tcPr>
          <w:p w14:paraId="7AB9655D">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20</w:t>
            </w:r>
          </w:p>
        </w:tc>
        <w:tc>
          <w:tcPr>
            <w:tcW w:w="614" w:type="dxa"/>
            <w:shd w:val="clear" w:color="auto" w:fill="auto"/>
            <w:vAlign w:val="center"/>
          </w:tcPr>
          <w:p w14:paraId="3572A15D">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考查</w:t>
            </w:r>
          </w:p>
        </w:tc>
        <w:tc>
          <w:tcPr>
            <w:tcW w:w="824" w:type="dxa"/>
            <w:vAlign w:val="center"/>
          </w:tcPr>
          <w:p w14:paraId="09A53AF0">
            <w:pPr>
              <w:widowControl/>
              <w:jc w:val="center"/>
              <w:rPr>
                <w:rFonts w:hint="eastAsia" w:ascii="仿宋" w:hAnsi="仿宋" w:eastAsia="仿宋" w:cs="仿宋"/>
                <w:b w:val="0"/>
                <w:bCs/>
                <w:color w:val="auto"/>
                <w:spacing w:val="20"/>
                <w:sz w:val="18"/>
                <w:szCs w:val="18"/>
              </w:rPr>
            </w:pPr>
            <w:r>
              <w:rPr>
                <w:rFonts w:hint="eastAsia" w:ascii="仿宋" w:hAnsi="仿宋" w:eastAsia="仿宋" w:cs="仿宋"/>
                <w:b w:val="0"/>
                <w:bCs/>
                <w:color w:val="auto"/>
                <w:spacing w:val="20"/>
                <w:sz w:val="18"/>
                <w:szCs w:val="18"/>
                <w:lang w:val="en-US" w:eastAsia="zh-CN"/>
              </w:rPr>
              <w:t>华侨学院</w:t>
            </w:r>
          </w:p>
        </w:tc>
        <w:tc>
          <w:tcPr>
            <w:tcW w:w="792" w:type="dxa"/>
            <w:shd w:val="clear" w:color="auto" w:fill="auto"/>
            <w:vAlign w:val="center"/>
          </w:tcPr>
          <w:p w14:paraId="22D2CDF9">
            <w:pPr>
              <w:widowControl/>
              <w:jc w:val="center"/>
              <w:rPr>
                <w:rFonts w:hint="eastAsia" w:ascii="仿宋" w:hAnsi="仿宋" w:eastAsia="仿宋" w:cs="仿宋"/>
                <w:b w:val="0"/>
                <w:bCs/>
                <w:color w:val="auto"/>
                <w:spacing w:val="20"/>
                <w:sz w:val="18"/>
                <w:szCs w:val="18"/>
              </w:rPr>
            </w:pPr>
            <w:r>
              <w:rPr>
                <w:rFonts w:hint="eastAsia" w:ascii="仿宋" w:hAnsi="仿宋" w:eastAsia="仿宋" w:cs="仿宋"/>
                <w:b w:val="0"/>
                <w:bCs/>
                <w:color w:val="FF0000"/>
                <w:spacing w:val="20"/>
                <w:sz w:val="18"/>
                <w:szCs w:val="18"/>
                <w:lang w:val="en-US" w:eastAsia="zh-CN"/>
              </w:rPr>
              <w:t>2</w:t>
            </w:r>
            <w:r>
              <w:rPr>
                <w:rFonts w:hint="eastAsia" w:ascii="仿宋" w:hAnsi="仿宋" w:eastAsia="仿宋" w:cs="仿宋"/>
                <w:b w:val="0"/>
                <w:bCs/>
                <w:color w:val="auto"/>
                <w:spacing w:val="20"/>
                <w:sz w:val="18"/>
                <w:szCs w:val="18"/>
              </w:rPr>
              <w:t>-1</w:t>
            </w:r>
          </w:p>
          <w:p w14:paraId="4A890F2F">
            <w:pPr>
              <w:widowControl/>
              <w:jc w:val="center"/>
              <w:rPr>
                <w:rFonts w:hint="eastAsia" w:ascii="仿宋" w:hAnsi="仿宋" w:eastAsia="仿宋" w:cs="仿宋"/>
                <w:b w:val="0"/>
                <w:bCs/>
                <w:color w:val="auto"/>
                <w:spacing w:val="20"/>
                <w:sz w:val="18"/>
                <w:szCs w:val="18"/>
                <w:lang w:val="en-US" w:eastAsia="zh-CN"/>
              </w:rPr>
            </w:pPr>
            <w:r>
              <w:rPr>
                <w:rFonts w:hint="eastAsia" w:ascii="仿宋" w:hAnsi="仿宋" w:eastAsia="仿宋"/>
                <w:b/>
                <w:color w:val="auto"/>
                <w:spacing w:val="20"/>
                <w:sz w:val="18"/>
                <w:szCs w:val="18"/>
                <w:lang w:val="en-US" w:eastAsia="zh-CN"/>
              </w:rPr>
              <w:t>周六上午12节</w:t>
            </w:r>
          </w:p>
        </w:tc>
        <w:tc>
          <w:tcPr>
            <w:tcW w:w="792" w:type="dxa"/>
            <w:vAlign w:val="center"/>
          </w:tcPr>
          <w:p w14:paraId="76DC869F">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7-16周，秦小舒</w:t>
            </w:r>
          </w:p>
        </w:tc>
      </w:tr>
      <w:tr w14:paraId="4A256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shd w:val="clear" w:color="auto" w:fill="auto"/>
            <w:vAlign w:val="center"/>
          </w:tcPr>
          <w:p w14:paraId="58F3BD18">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Python在可持续化发展中的应用</w:t>
            </w:r>
          </w:p>
        </w:tc>
        <w:tc>
          <w:tcPr>
            <w:tcW w:w="1025" w:type="dxa"/>
            <w:shd w:val="clear" w:color="auto" w:fill="auto"/>
            <w:vAlign w:val="center"/>
          </w:tcPr>
          <w:p w14:paraId="19AA19C3">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lang w:val="en-US" w:eastAsia="zh-CN"/>
              </w:rPr>
              <w:t>V1424052B</w:t>
            </w:r>
          </w:p>
        </w:tc>
        <w:tc>
          <w:tcPr>
            <w:tcW w:w="488" w:type="dxa"/>
            <w:shd w:val="clear" w:color="auto" w:fill="auto"/>
            <w:vAlign w:val="center"/>
          </w:tcPr>
          <w:p w14:paraId="2DAB11BA">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2</w:t>
            </w:r>
          </w:p>
        </w:tc>
        <w:tc>
          <w:tcPr>
            <w:tcW w:w="600" w:type="dxa"/>
            <w:shd w:val="clear" w:color="auto" w:fill="auto"/>
            <w:vAlign w:val="center"/>
          </w:tcPr>
          <w:p w14:paraId="16D3D5C7">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32</w:t>
            </w:r>
          </w:p>
        </w:tc>
        <w:tc>
          <w:tcPr>
            <w:tcW w:w="737" w:type="dxa"/>
            <w:shd w:val="clear" w:color="auto" w:fill="auto"/>
            <w:vAlign w:val="center"/>
          </w:tcPr>
          <w:p w14:paraId="28492CCB">
            <w:pPr>
              <w:widowControl/>
              <w:jc w:val="center"/>
              <w:rPr>
                <w:rFonts w:hint="default"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lang w:val="en-US" w:eastAsia="zh-CN" w:bidi="ar-SA"/>
              </w:rPr>
              <w:t>李京宁</w:t>
            </w:r>
          </w:p>
        </w:tc>
        <w:tc>
          <w:tcPr>
            <w:tcW w:w="713" w:type="dxa"/>
            <w:shd w:val="clear" w:color="auto" w:fill="auto"/>
            <w:vAlign w:val="center"/>
          </w:tcPr>
          <w:p w14:paraId="638745DD">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16</w:t>
            </w:r>
          </w:p>
        </w:tc>
        <w:tc>
          <w:tcPr>
            <w:tcW w:w="625" w:type="dxa"/>
            <w:shd w:val="clear" w:color="auto" w:fill="auto"/>
            <w:vAlign w:val="center"/>
          </w:tcPr>
          <w:p w14:paraId="07972697">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16</w:t>
            </w:r>
          </w:p>
        </w:tc>
        <w:tc>
          <w:tcPr>
            <w:tcW w:w="725" w:type="dxa"/>
            <w:shd w:val="clear" w:color="auto" w:fill="auto"/>
            <w:vAlign w:val="center"/>
          </w:tcPr>
          <w:p w14:paraId="4CB036A3">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16</w:t>
            </w:r>
          </w:p>
        </w:tc>
        <w:tc>
          <w:tcPr>
            <w:tcW w:w="712" w:type="dxa"/>
            <w:shd w:val="clear" w:color="auto" w:fill="auto"/>
            <w:vAlign w:val="center"/>
          </w:tcPr>
          <w:p w14:paraId="1F2CE581">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16</w:t>
            </w:r>
          </w:p>
        </w:tc>
        <w:tc>
          <w:tcPr>
            <w:tcW w:w="614" w:type="dxa"/>
            <w:shd w:val="clear" w:color="auto" w:fill="auto"/>
            <w:vAlign w:val="center"/>
          </w:tcPr>
          <w:p w14:paraId="186D5AFC">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考查</w:t>
            </w:r>
          </w:p>
        </w:tc>
        <w:tc>
          <w:tcPr>
            <w:tcW w:w="824" w:type="dxa"/>
            <w:vAlign w:val="center"/>
          </w:tcPr>
          <w:p w14:paraId="36483636">
            <w:pPr>
              <w:widowControl/>
              <w:jc w:val="center"/>
              <w:rPr>
                <w:rFonts w:hint="eastAsia" w:ascii="仿宋" w:hAnsi="仿宋" w:eastAsia="仿宋" w:cs="仿宋"/>
                <w:b w:val="0"/>
                <w:bCs/>
                <w:color w:val="auto"/>
                <w:spacing w:val="20"/>
                <w:sz w:val="18"/>
                <w:szCs w:val="18"/>
              </w:rPr>
            </w:pPr>
            <w:r>
              <w:rPr>
                <w:rFonts w:hint="eastAsia" w:ascii="仿宋" w:hAnsi="仿宋" w:eastAsia="仿宋" w:cs="仿宋"/>
                <w:b w:val="0"/>
                <w:bCs/>
                <w:color w:val="auto"/>
                <w:spacing w:val="20"/>
                <w:sz w:val="18"/>
                <w:szCs w:val="18"/>
                <w:lang w:val="en-US" w:eastAsia="zh-CN"/>
              </w:rPr>
              <w:t>华侨学院</w:t>
            </w:r>
          </w:p>
        </w:tc>
        <w:tc>
          <w:tcPr>
            <w:tcW w:w="792" w:type="dxa"/>
            <w:shd w:val="clear" w:color="auto" w:fill="auto"/>
            <w:vAlign w:val="center"/>
          </w:tcPr>
          <w:p w14:paraId="0B548618">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FF0000"/>
                <w:spacing w:val="20"/>
                <w:sz w:val="18"/>
                <w:szCs w:val="18"/>
                <w:lang w:val="en-US" w:eastAsia="zh-CN"/>
              </w:rPr>
              <w:t>2</w:t>
            </w:r>
            <w:r>
              <w:rPr>
                <w:rFonts w:hint="eastAsia" w:ascii="仿宋" w:hAnsi="仿宋" w:eastAsia="仿宋" w:cs="仿宋"/>
                <w:b w:val="0"/>
                <w:bCs/>
                <w:color w:val="auto"/>
                <w:spacing w:val="20"/>
                <w:sz w:val="18"/>
                <w:szCs w:val="18"/>
              </w:rPr>
              <w:t>-1</w:t>
            </w:r>
            <w:r>
              <w:rPr>
                <w:rFonts w:hint="eastAsia" w:ascii="仿宋" w:hAnsi="仿宋" w:eastAsia="仿宋" w:cs="仿宋"/>
                <w:b w:val="0"/>
                <w:bCs/>
                <w:color w:val="auto"/>
                <w:spacing w:val="20"/>
                <w:sz w:val="18"/>
                <w:szCs w:val="18"/>
                <w:lang w:eastAsia="zh-CN"/>
              </w:rPr>
              <w:t>，</w:t>
            </w:r>
            <w:r>
              <w:rPr>
                <w:rFonts w:hint="eastAsia" w:ascii="仿宋" w:hAnsi="仿宋" w:eastAsia="仿宋" w:cs="仿宋"/>
                <w:b w:val="0"/>
                <w:bCs/>
                <w:color w:val="auto"/>
                <w:spacing w:val="20"/>
                <w:sz w:val="18"/>
                <w:szCs w:val="18"/>
                <w:lang w:val="en-US" w:eastAsia="zh-CN"/>
              </w:rPr>
              <w:t>周日上午12节</w:t>
            </w:r>
          </w:p>
        </w:tc>
        <w:tc>
          <w:tcPr>
            <w:tcW w:w="792" w:type="dxa"/>
            <w:vAlign w:val="center"/>
          </w:tcPr>
          <w:p w14:paraId="3064B416">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1-8周，李京宁</w:t>
            </w:r>
          </w:p>
        </w:tc>
      </w:tr>
      <w:tr w14:paraId="54D13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shd w:val="clear" w:color="auto" w:fill="auto"/>
            <w:vAlign w:val="center"/>
          </w:tcPr>
          <w:p w14:paraId="220BDC68">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量化责任投资</w:t>
            </w:r>
          </w:p>
        </w:tc>
        <w:tc>
          <w:tcPr>
            <w:tcW w:w="1025" w:type="dxa"/>
            <w:shd w:val="clear" w:color="auto" w:fill="auto"/>
            <w:vAlign w:val="center"/>
          </w:tcPr>
          <w:p w14:paraId="3C13478A">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lang w:val="en-US" w:eastAsia="zh-CN"/>
              </w:rPr>
              <w:t>V1424062B</w:t>
            </w:r>
          </w:p>
        </w:tc>
        <w:tc>
          <w:tcPr>
            <w:tcW w:w="488" w:type="dxa"/>
            <w:shd w:val="clear" w:color="auto" w:fill="auto"/>
            <w:vAlign w:val="center"/>
          </w:tcPr>
          <w:p w14:paraId="4AAC5718">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2</w:t>
            </w:r>
          </w:p>
        </w:tc>
        <w:tc>
          <w:tcPr>
            <w:tcW w:w="600" w:type="dxa"/>
            <w:shd w:val="clear" w:color="auto" w:fill="auto"/>
            <w:vAlign w:val="center"/>
          </w:tcPr>
          <w:p w14:paraId="50960504">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32</w:t>
            </w:r>
          </w:p>
        </w:tc>
        <w:tc>
          <w:tcPr>
            <w:tcW w:w="737" w:type="dxa"/>
            <w:shd w:val="clear" w:color="auto" w:fill="auto"/>
            <w:vAlign w:val="center"/>
          </w:tcPr>
          <w:p w14:paraId="001D7B44">
            <w:pPr>
              <w:widowControl/>
              <w:jc w:val="center"/>
              <w:rPr>
                <w:rFonts w:hint="default"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lang w:val="en-US" w:eastAsia="zh-CN" w:bidi="ar-SA"/>
              </w:rPr>
              <w:t>李梦</w:t>
            </w:r>
          </w:p>
        </w:tc>
        <w:tc>
          <w:tcPr>
            <w:tcW w:w="713" w:type="dxa"/>
            <w:shd w:val="clear" w:color="auto" w:fill="auto"/>
            <w:vAlign w:val="center"/>
          </w:tcPr>
          <w:p w14:paraId="11DD856A">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16</w:t>
            </w:r>
          </w:p>
        </w:tc>
        <w:tc>
          <w:tcPr>
            <w:tcW w:w="625" w:type="dxa"/>
            <w:shd w:val="clear" w:color="auto" w:fill="auto"/>
            <w:vAlign w:val="center"/>
          </w:tcPr>
          <w:p w14:paraId="30FD9D9E">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16</w:t>
            </w:r>
          </w:p>
        </w:tc>
        <w:tc>
          <w:tcPr>
            <w:tcW w:w="725" w:type="dxa"/>
            <w:shd w:val="clear" w:color="auto" w:fill="auto"/>
            <w:vAlign w:val="center"/>
          </w:tcPr>
          <w:p w14:paraId="0C948048">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16</w:t>
            </w:r>
          </w:p>
        </w:tc>
        <w:tc>
          <w:tcPr>
            <w:tcW w:w="712" w:type="dxa"/>
            <w:shd w:val="clear" w:color="auto" w:fill="auto"/>
            <w:vAlign w:val="center"/>
          </w:tcPr>
          <w:p w14:paraId="380A0161">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16</w:t>
            </w:r>
          </w:p>
        </w:tc>
        <w:tc>
          <w:tcPr>
            <w:tcW w:w="614" w:type="dxa"/>
            <w:shd w:val="clear" w:color="auto" w:fill="auto"/>
            <w:vAlign w:val="center"/>
          </w:tcPr>
          <w:p w14:paraId="72E3BB0E">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考查</w:t>
            </w:r>
          </w:p>
        </w:tc>
        <w:tc>
          <w:tcPr>
            <w:tcW w:w="824" w:type="dxa"/>
            <w:vAlign w:val="center"/>
          </w:tcPr>
          <w:p w14:paraId="258BF99B">
            <w:pPr>
              <w:widowControl/>
              <w:jc w:val="center"/>
              <w:rPr>
                <w:rFonts w:hint="eastAsia" w:ascii="仿宋" w:hAnsi="仿宋" w:eastAsia="仿宋" w:cs="仿宋"/>
                <w:b w:val="0"/>
                <w:bCs/>
                <w:color w:val="auto"/>
                <w:spacing w:val="20"/>
                <w:sz w:val="18"/>
                <w:szCs w:val="18"/>
              </w:rPr>
            </w:pPr>
            <w:r>
              <w:rPr>
                <w:rFonts w:hint="eastAsia" w:ascii="仿宋" w:hAnsi="仿宋" w:eastAsia="仿宋" w:cs="仿宋"/>
                <w:b w:val="0"/>
                <w:bCs/>
                <w:color w:val="auto"/>
                <w:spacing w:val="20"/>
                <w:sz w:val="18"/>
                <w:szCs w:val="18"/>
                <w:lang w:val="en-US" w:eastAsia="zh-CN"/>
              </w:rPr>
              <w:t>华侨学院</w:t>
            </w:r>
          </w:p>
        </w:tc>
        <w:tc>
          <w:tcPr>
            <w:tcW w:w="792" w:type="dxa"/>
            <w:shd w:val="clear" w:color="auto" w:fill="auto"/>
            <w:vAlign w:val="center"/>
          </w:tcPr>
          <w:p w14:paraId="05F369FB">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FF0000"/>
                <w:spacing w:val="20"/>
                <w:sz w:val="18"/>
                <w:szCs w:val="18"/>
                <w:lang w:val="en-US" w:eastAsia="zh-CN"/>
              </w:rPr>
              <w:t>2</w:t>
            </w:r>
            <w:r>
              <w:rPr>
                <w:rFonts w:hint="eastAsia" w:ascii="仿宋" w:hAnsi="仿宋" w:eastAsia="仿宋" w:cs="仿宋"/>
                <w:b w:val="0"/>
                <w:bCs/>
                <w:color w:val="auto"/>
                <w:spacing w:val="20"/>
                <w:sz w:val="18"/>
                <w:szCs w:val="18"/>
              </w:rPr>
              <w:t>-2</w:t>
            </w:r>
            <w:r>
              <w:rPr>
                <w:rFonts w:hint="eastAsia" w:ascii="仿宋" w:hAnsi="仿宋" w:eastAsia="仿宋" w:cs="仿宋"/>
                <w:b w:val="0"/>
                <w:bCs/>
                <w:color w:val="auto"/>
                <w:spacing w:val="20"/>
                <w:sz w:val="18"/>
                <w:szCs w:val="18"/>
                <w:lang w:eastAsia="zh-CN"/>
              </w:rPr>
              <w:t>，</w:t>
            </w:r>
            <w:r>
              <w:rPr>
                <w:rFonts w:hint="eastAsia" w:ascii="仿宋" w:hAnsi="仿宋" w:eastAsia="仿宋" w:cs="仿宋"/>
                <w:b w:val="0"/>
                <w:bCs/>
                <w:color w:val="auto"/>
                <w:spacing w:val="20"/>
                <w:sz w:val="18"/>
                <w:szCs w:val="18"/>
                <w:lang w:val="en-US" w:eastAsia="zh-CN"/>
              </w:rPr>
              <w:t>周六上午12节</w:t>
            </w:r>
          </w:p>
        </w:tc>
        <w:tc>
          <w:tcPr>
            <w:tcW w:w="792" w:type="dxa"/>
            <w:vAlign w:val="center"/>
          </w:tcPr>
          <w:p w14:paraId="6ED368BB">
            <w:pPr>
              <w:widowControl/>
              <w:jc w:val="center"/>
              <w:rPr>
                <w:rFonts w:ascii="仿宋" w:hAnsi="仿宋" w:eastAsia="仿宋"/>
                <w:b/>
                <w:spacing w:val="20"/>
                <w:sz w:val="18"/>
                <w:szCs w:val="18"/>
              </w:rPr>
            </w:pPr>
            <w:r>
              <w:rPr>
                <w:rFonts w:hint="eastAsia" w:ascii="仿宋" w:hAnsi="仿宋" w:eastAsia="仿宋"/>
                <w:b/>
                <w:spacing w:val="20"/>
                <w:sz w:val="18"/>
                <w:szCs w:val="18"/>
                <w:lang w:val="en-US" w:eastAsia="zh-CN"/>
              </w:rPr>
              <w:t>1-8周，李梦</w:t>
            </w:r>
          </w:p>
        </w:tc>
      </w:tr>
      <w:tr w14:paraId="1C2F0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shd w:val="clear" w:color="auto" w:fill="auto"/>
            <w:vAlign w:val="center"/>
          </w:tcPr>
          <w:p w14:paraId="2D3A3732">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碳核算与碳管理</w:t>
            </w:r>
          </w:p>
        </w:tc>
        <w:tc>
          <w:tcPr>
            <w:tcW w:w="1025" w:type="dxa"/>
            <w:shd w:val="clear" w:color="auto" w:fill="auto"/>
            <w:vAlign w:val="center"/>
          </w:tcPr>
          <w:p w14:paraId="2D6444FE">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lang w:val="en-US" w:eastAsia="zh-CN"/>
              </w:rPr>
              <w:t>V1424072B</w:t>
            </w:r>
          </w:p>
        </w:tc>
        <w:tc>
          <w:tcPr>
            <w:tcW w:w="488" w:type="dxa"/>
            <w:shd w:val="clear" w:color="auto" w:fill="auto"/>
            <w:vAlign w:val="center"/>
          </w:tcPr>
          <w:p w14:paraId="7AB79737">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2</w:t>
            </w:r>
          </w:p>
        </w:tc>
        <w:tc>
          <w:tcPr>
            <w:tcW w:w="600" w:type="dxa"/>
            <w:shd w:val="clear" w:color="auto" w:fill="auto"/>
            <w:vAlign w:val="center"/>
          </w:tcPr>
          <w:p w14:paraId="70311C1A">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32</w:t>
            </w:r>
          </w:p>
        </w:tc>
        <w:tc>
          <w:tcPr>
            <w:tcW w:w="737" w:type="dxa"/>
            <w:shd w:val="clear" w:color="auto" w:fill="auto"/>
            <w:vAlign w:val="center"/>
          </w:tcPr>
          <w:p w14:paraId="5F357B7E">
            <w:pPr>
              <w:widowControl/>
              <w:jc w:val="center"/>
              <w:rPr>
                <w:rFonts w:hint="default"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lang w:val="en-US" w:eastAsia="zh-CN" w:bidi="ar-SA"/>
              </w:rPr>
              <w:t>朱小丽</w:t>
            </w:r>
          </w:p>
        </w:tc>
        <w:tc>
          <w:tcPr>
            <w:tcW w:w="713" w:type="dxa"/>
            <w:shd w:val="clear" w:color="auto" w:fill="auto"/>
            <w:vAlign w:val="center"/>
          </w:tcPr>
          <w:p w14:paraId="4E1317EA">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32</w:t>
            </w:r>
          </w:p>
        </w:tc>
        <w:tc>
          <w:tcPr>
            <w:tcW w:w="625" w:type="dxa"/>
            <w:shd w:val="clear" w:color="auto" w:fill="auto"/>
            <w:vAlign w:val="center"/>
          </w:tcPr>
          <w:p w14:paraId="2DC9E754">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0</w:t>
            </w:r>
          </w:p>
        </w:tc>
        <w:tc>
          <w:tcPr>
            <w:tcW w:w="725" w:type="dxa"/>
            <w:shd w:val="clear" w:color="auto" w:fill="auto"/>
            <w:vAlign w:val="center"/>
          </w:tcPr>
          <w:p w14:paraId="35BC5D14">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12</w:t>
            </w:r>
          </w:p>
        </w:tc>
        <w:tc>
          <w:tcPr>
            <w:tcW w:w="712" w:type="dxa"/>
            <w:shd w:val="clear" w:color="auto" w:fill="auto"/>
            <w:vAlign w:val="center"/>
          </w:tcPr>
          <w:p w14:paraId="164BA0C2">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20</w:t>
            </w:r>
          </w:p>
        </w:tc>
        <w:tc>
          <w:tcPr>
            <w:tcW w:w="614" w:type="dxa"/>
            <w:shd w:val="clear" w:color="auto" w:fill="auto"/>
            <w:vAlign w:val="center"/>
          </w:tcPr>
          <w:p w14:paraId="6E62F9CE">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考查</w:t>
            </w:r>
          </w:p>
        </w:tc>
        <w:tc>
          <w:tcPr>
            <w:tcW w:w="824" w:type="dxa"/>
            <w:vAlign w:val="center"/>
          </w:tcPr>
          <w:p w14:paraId="6616510A">
            <w:pPr>
              <w:widowControl/>
              <w:jc w:val="center"/>
              <w:rPr>
                <w:rFonts w:hint="eastAsia" w:ascii="仿宋" w:hAnsi="仿宋" w:eastAsia="仿宋" w:cs="仿宋"/>
                <w:b w:val="0"/>
                <w:bCs/>
                <w:color w:val="auto"/>
                <w:spacing w:val="20"/>
                <w:sz w:val="18"/>
                <w:szCs w:val="18"/>
              </w:rPr>
            </w:pPr>
            <w:r>
              <w:rPr>
                <w:rFonts w:hint="eastAsia" w:ascii="仿宋" w:hAnsi="仿宋" w:eastAsia="仿宋" w:cs="仿宋"/>
                <w:b w:val="0"/>
                <w:bCs/>
                <w:color w:val="auto"/>
                <w:spacing w:val="20"/>
                <w:sz w:val="18"/>
                <w:szCs w:val="18"/>
                <w:lang w:val="en-US" w:eastAsia="zh-CN"/>
              </w:rPr>
              <w:t>华侨学院</w:t>
            </w:r>
          </w:p>
        </w:tc>
        <w:tc>
          <w:tcPr>
            <w:tcW w:w="792" w:type="dxa"/>
            <w:shd w:val="clear" w:color="auto" w:fill="auto"/>
            <w:vAlign w:val="center"/>
          </w:tcPr>
          <w:p w14:paraId="012FDA8F">
            <w:pPr>
              <w:widowControl/>
              <w:jc w:val="center"/>
              <w:rPr>
                <w:rFonts w:hint="eastAsia" w:ascii="仿宋" w:hAnsi="仿宋" w:eastAsia="仿宋" w:cs="仿宋"/>
                <w:b w:val="0"/>
                <w:bCs/>
                <w:color w:val="auto"/>
                <w:spacing w:val="20"/>
                <w:sz w:val="18"/>
                <w:szCs w:val="18"/>
              </w:rPr>
            </w:pPr>
            <w:r>
              <w:rPr>
                <w:rFonts w:hint="eastAsia" w:ascii="仿宋" w:hAnsi="仿宋" w:eastAsia="仿宋" w:cs="仿宋"/>
                <w:b w:val="0"/>
                <w:bCs/>
                <w:color w:val="FF0000"/>
                <w:spacing w:val="20"/>
                <w:sz w:val="18"/>
                <w:szCs w:val="18"/>
                <w:lang w:val="en-US" w:eastAsia="zh-CN"/>
              </w:rPr>
              <w:t>2</w:t>
            </w:r>
            <w:r>
              <w:rPr>
                <w:rFonts w:hint="eastAsia" w:ascii="仿宋" w:hAnsi="仿宋" w:eastAsia="仿宋" w:cs="仿宋"/>
                <w:b w:val="0"/>
                <w:bCs/>
                <w:color w:val="auto"/>
                <w:spacing w:val="20"/>
                <w:sz w:val="18"/>
                <w:szCs w:val="18"/>
              </w:rPr>
              <w:t>-2</w:t>
            </w:r>
          </w:p>
          <w:p w14:paraId="08B72128">
            <w:pPr>
              <w:widowControl/>
              <w:jc w:val="center"/>
              <w:rPr>
                <w:rFonts w:hint="default" w:ascii="仿宋" w:hAnsi="仿宋" w:eastAsia="仿宋" w:cs="仿宋"/>
                <w:b w:val="0"/>
                <w:bCs/>
                <w:color w:val="auto"/>
                <w:spacing w:val="20"/>
                <w:sz w:val="18"/>
                <w:szCs w:val="18"/>
                <w:lang w:val="en-US" w:eastAsia="zh-CN"/>
              </w:rPr>
            </w:pPr>
            <w:r>
              <w:rPr>
                <w:rFonts w:hint="eastAsia" w:ascii="仿宋" w:hAnsi="仿宋" w:eastAsia="仿宋" w:cs="仿宋"/>
                <w:b w:val="0"/>
                <w:bCs/>
                <w:color w:val="auto"/>
                <w:spacing w:val="20"/>
                <w:sz w:val="18"/>
                <w:szCs w:val="18"/>
                <w:lang w:val="en-US" w:eastAsia="zh-CN"/>
              </w:rPr>
              <w:t>周日上午12节</w:t>
            </w:r>
          </w:p>
        </w:tc>
        <w:tc>
          <w:tcPr>
            <w:tcW w:w="792" w:type="dxa"/>
            <w:vAlign w:val="center"/>
          </w:tcPr>
          <w:p w14:paraId="444CC1FC">
            <w:pPr>
              <w:widowControl/>
              <w:jc w:val="center"/>
              <w:rPr>
                <w:rFonts w:hint="default" w:ascii="仿宋" w:hAnsi="仿宋" w:eastAsia="仿宋"/>
                <w:b/>
                <w:spacing w:val="20"/>
                <w:sz w:val="18"/>
                <w:szCs w:val="18"/>
                <w:lang w:val="en-US" w:eastAsia="zh-CN"/>
              </w:rPr>
            </w:pPr>
            <w:r>
              <w:rPr>
                <w:rFonts w:hint="eastAsia" w:ascii="仿宋" w:hAnsi="仿宋" w:eastAsia="仿宋"/>
                <w:b/>
                <w:spacing w:val="20"/>
                <w:sz w:val="18"/>
                <w:szCs w:val="18"/>
                <w:lang w:val="en-US" w:eastAsia="zh-CN"/>
              </w:rPr>
              <w:t>1-10</w:t>
            </w:r>
            <w:bookmarkStart w:id="0" w:name="_GoBack"/>
            <w:bookmarkEnd w:id="0"/>
            <w:r>
              <w:rPr>
                <w:rFonts w:hint="eastAsia" w:ascii="仿宋" w:hAnsi="仿宋" w:eastAsia="仿宋"/>
                <w:b/>
                <w:spacing w:val="20"/>
                <w:sz w:val="18"/>
                <w:szCs w:val="18"/>
                <w:lang w:val="en-US" w:eastAsia="zh-CN"/>
              </w:rPr>
              <w:t>周，朱小丽</w:t>
            </w:r>
          </w:p>
        </w:tc>
      </w:tr>
      <w:tr w14:paraId="0ADE4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tcBorders>
              <w:bottom w:val="single" w:color="auto" w:sz="4" w:space="0"/>
            </w:tcBorders>
            <w:shd w:val="clear" w:color="auto" w:fill="auto"/>
            <w:vAlign w:val="center"/>
          </w:tcPr>
          <w:p w14:paraId="6CDC9193">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碳交易</w:t>
            </w:r>
          </w:p>
        </w:tc>
        <w:tc>
          <w:tcPr>
            <w:tcW w:w="1025" w:type="dxa"/>
            <w:tcBorders>
              <w:bottom w:val="single" w:color="auto" w:sz="4" w:space="0"/>
            </w:tcBorders>
            <w:shd w:val="clear" w:color="auto" w:fill="auto"/>
            <w:vAlign w:val="center"/>
          </w:tcPr>
          <w:p w14:paraId="64C9A5CE">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lang w:val="en-US" w:eastAsia="zh-CN"/>
              </w:rPr>
              <w:t>V1424082B</w:t>
            </w:r>
          </w:p>
        </w:tc>
        <w:tc>
          <w:tcPr>
            <w:tcW w:w="488" w:type="dxa"/>
            <w:tcBorders>
              <w:bottom w:val="single" w:color="auto" w:sz="4" w:space="0"/>
            </w:tcBorders>
            <w:shd w:val="clear" w:color="auto" w:fill="auto"/>
            <w:vAlign w:val="center"/>
          </w:tcPr>
          <w:p w14:paraId="26EAB990">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2</w:t>
            </w:r>
          </w:p>
        </w:tc>
        <w:tc>
          <w:tcPr>
            <w:tcW w:w="600" w:type="dxa"/>
            <w:tcBorders>
              <w:bottom w:val="single" w:color="auto" w:sz="4" w:space="0"/>
            </w:tcBorders>
            <w:shd w:val="clear" w:color="auto" w:fill="auto"/>
            <w:vAlign w:val="center"/>
          </w:tcPr>
          <w:p w14:paraId="15DD881B">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32</w:t>
            </w:r>
          </w:p>
        </w:tc>
        <w:tc>
          <w:tcPr>
            <w:tcW w:w="737" w:type="dxa"/>
            <w:tcBorders>
              <w:bottom w:val="single" w:color="auto" w:sz="4" w:space="0"/>
            </w:tcBorders>
            <w:shd w:val="clear" w:color="auto" w:fill="auto"/>
            <w:vAlign w:val="center"/>
          </w:tcPr>
          <w:p w14:paraId="7475FFFF">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lang w:val="en-US" w:eastAsia="zh-CN" w:bidi="ar-SA"/>
              </w:rPr>
              <w:t>秦小舒</w:t>
            </w:r>
          </w:p>
        </w:tc>
        <w:tc>
          <w:tcPr>
            <w:tcW w:w="713" w:type="dxa"/>
            <w:tcBorders>
              <w:bottom w:val="single" w:color="auto" w:sz="4" w:space="0"/>
            </w:tcBorders>
            <w:shd w:val="clear" w:color="auto" w:fill="auto"/>
            <w:vAlign w:val="center"/>
          </w:tcPr>
          <w:p w14:paraId="632FDCDC">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16</w:t>
            </w:r>
          </w:p>
        </w:tc>
        <w:tc>
          <w:tcPr>
            <w:tcW w:w="625" w:type="dxa"/>
            <w:tcBorders>
              <w:bottom w:val="single" w:color="auto" w:sz="4" w:space="0"/>
            </w:tcBorders>
            <w:shd w:val="clear" w:color="auto" w:fill="auto"/>
            <w:vAlign w:val="center"/>
          </w:tcPr>
          <w:p w14:paraId="1E1B1EF8">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16</w:t>
            </w:r>
          </w:p>
        </w:tc>
        <w:tc>
          <w:tcPr>
            <w:tcW w:w="725" w:type="dxa"/>
            <w:tcBorders>
              <w:bottom w:val="single" w:color="auto" w:sz="4" w:space="0"/>
            </w:tcBorders>
            <w:shd w:val="clear" w:color="auto" w:fill="auto"/>
            <w:vAlign w:val="center"/>
          </w:tcPr>
          <w:p w14:paraId="117FCA2B">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16</w:t>
            </w:r>
          </w:p>
        </w:tc>
        <w:tc>
          <w:tcPr>
            <w:tcW w:w="712" w:type="dxa"/>
            <w:tcBorders>
              <w:bottom w:val="single" w:color="auto" w:sz="4" w:space="0"/>
            </w:tcBorders>
            <w:shd w:val="clear" w:color="auto" w:fill="auto"/>
            <w:vAlign w:val="center"/>
          </w:tcPr>
          <w:p w14:paraId="6E7B7E54">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16</w:t>
            </w:r>
          </w:p>
        </w:tc>
        <w:tc>
          <w:tcPr>
            <w:tcW w:w="614" w:type="dxa"/>
            <w:tcBorders>
              <w:bottom w:val="single" w:color="auto" w:sz="4" w:space="0"/>
            </w:tcBorders>
            <w:shd w:val="clear" w:color="auto" w:fill="auto"/>
            <w:vAlign w:val="center"/>
          </w:tcPr>
          <w:p w14:paraId="12AA4AE3">
            <w:pPr>
              <w:widowControl/>
              <w:jc w:val="center"/>
              <w:rPr>
                <w:rFonts w:hint="eastAsia" w:ascii="仿宋" w:hAnsi="仿宋" w:eastAsia="仿宋" w:cs="仿宋"/>
                <w:b w:val="0"/>
                <w:bCs/>
                <w:color w:val="auto"/>
                <w:spacing w:val="20"/>
                <w:sz w:val="18"/>
                <w:szCs w:val="18"/>
                <w:lang w:val="en-US" w:eastAsia="zh-CN" w:bidi="ar-SA"/>
              </w:rPr>
            </w:pPr>
            <w:r>
              <w:rPr>
                <w:rFonts w:hint="eastAsia" w:ascii="仿宋" w:hAnsi="仿宋" w:eastAsia="仿宋" w:cs="仿宋"/>
                <w:b w:val="0"/>
                <w:bCs/>
                <w:color w:val="auto"/>
                <w:spacing w:val="20"/>
                <w:sz w:val="18"/>
                <w:szCs w:val="18"/>
              </w:rPr>
              <w:t>考查</w:t>
            </w:r>
          </w:p>
        </w:tc>
        <w:tc>
          <w:tcPr>
            <w:tcW w:w="824" w:type="dxa"/>
            <w:tcBorders>
              <w:bottom w:val="single" w:color="auto" w:sz="4" w:space="0"/>
            </w:tcBorders>
            <w:vAlign w:val="center"/>
          </w:tcPr>
          <w:p w14:paraId="2A07AF5F">
            <w:pPr>
              <w:widowControl/>
              <w:jc w:val="center"/>
              <w:rPr>
                <w:rFonts w:hint="eastAsia" w:ascii="仿宋" w:hAnsi="仿宋" w:eastAsia="仿宋" w:cs="仿宋"/>
                <w:b w:val="0"/>
                <w:bCs/>
                <w:color w:val="auto"/>
                <w:spacing w:val="20"/>
                <w:sz w:val="18"/>
                <w:szCs w:val="18"/>
              </w:rPr>
            </w:pPr>
            <w:r>
              <w:rPr>
                <w:rFonts w:hint="eastAsia" w:ascii="仿宋" w:hAnsi="仿宋" w:eastAsia="仿宋" w:cs="仿宋"/>
                <w:b w:val="0"/>
                <w:bCs/>
                <w:color w:val="auto"/>
                <w:spacing w:val="20"/>
                <w:sz w:val="18"/>
                <w:szCs w:val="18"/>
                <w:lang w:val="en-US" w:eastAsia="zh-CN"/>
              </w:rPr>
              <w:t>华侨学院</w:t>
            </w:r>
          </w:p>
        </w:tc>
        <w:tc>
          <w:tcPr>
            <w:tcW w:w="792" w:type="dxa"/>
            <w:tcBorders>
              <w:bottom w:val="single" w:color="auto" w:sz="4" w:space="0"/>
            </w:tcBorders>
            <w:shd w:val="clear" w:color="auto" w:fill="auto"/>
            <w:vAlign w:val="center"/>
          </w:tcPr>
          <w:p w14:paraId="03DF9F3D">
            <w:pPr>
              <w:widowControl/>
              <w:jc w:val="center"/>
              <w:rPr>
                <w:rFonts w:hint="eastAsia" w:ascii="仿宋" w:hAnsi="仿宋" w:eastAsia="仿宋" w:cs="仿宋"/>
                <w:b w:val="0"/>
                <w:bCs/>
                <w:color w:val="auto"/>
                <w:spacing w:val="20"/>
                <w:sz w:val="18"/>
                <w:szCs w:val="18"/>
              </w:rPr>
            </w:pPr>
            <w:r>
              <w:rPr>
                <w:rFonts w:hint="eastAsia" w:ascii="仿宋" w:hAnsi="仿宋" w:eastAsia="仿宋" w:cs="仿宋"/>
                <w:b w:val="0"/>
                <w:bCs/>
                <w:color w:val="FF0000"/>
                <w:spacing w:val="20"/>
                <w:sz w:val="18"/>
                <w:szCs w:val="18"/>
                <w:lang w:val="en-US" w:eastAsia="zh-CN"/>
              </w:rPr>
              <w:t>2</w:t>
            </w:r>
            <w:r>
              <w:rPr>
                <w:rFonts w:hint="eastAsia" w:ascii="仿宋" w:hAnsi="仿宋" w:eastAsia="仿宋" w:cs="仿宋"/>
                <w:b w:val="0"/>
                <w:bCs/>
                <w:color w:val="auto"/>
                <w:spacing w:val="20"/>
                <w:sz w:val="18"/>
                <w:szCs w:val="18"/>
              </w:rPr>
              <w:t>-2</w:t>
            </w:r>
          </w:p>
          <w:p w14:paraId="14A95F07">
            <w:pPr>
              <w:widowControl/>
              <w:jc w:val="center"/>
              <w:rPr>
                <w:rFonts w:hint="eastAsia" w:ascii="仿宋" w:hAnsi="仿宋" w:eastAsia="仿宋" w:cs="仿宋"/>
                <w:b w:val="0"/>
                <w:bCs/>
                <w:color w:val="auto"/>
                <w:spacing w:val="20"/>
                <w:sz w:val="18"/>
                <w:szCs w:val="18"/>
                <w:lang w:val="en-US" w:eastAsia="zh-CN"/>
              </w:rPr>
            </w:pPr>
            <w:r>
              <w:rPr>
                <w:rFonts w:hint="eastAsia" w:ascii="仿宋" w:hAnsi="仿宋" w:eastAsia="仿宋"/>
                <w:b/>
                <w:color w:val="FF0000"/>
                <w:spacing w:val="20"/>
                <w:sz w:val="18"/>
                <w:szCs w:val="18"/>
                <w:lang w:val="en-US" w:eastAsia="zh-CN"/>
              </w:rPr>
              <w:t>周六上午34节</w:t>
            </w:r>
          </w:p>
        </w:tc>
        <w:tc>
          <w:tcPr>
            <w:tcW w:w="792" w:type="dxa"/>
            <w:tcBorders>
              <w:bottom w:val="single" w:color="auto" w:sz="4" w:space="0"/>
            </w:tcBorders>
            <w:vAlign w:val="center"/>
          </w:tcPr>
          <w:p w14:paraId="198BDCA1">
            <w:pPr>
              <w:widowControl/>
              <w:jc w:val="center"/>
              <w:rPr>
                <w:rFonts w:hint="eastAsia" w:ascii="仿宋" w:hAnsi="仿宋" w:eastAsia="仿宋"/>
                <w:b/>
                <w:spacing w:val="20"/>
                <w:sz w:val="18"/>
                <w:szCs w:val="18"/>
              </w:rPr>
            </w:pPr>
            <w:r>
              <w:rPr>
                <w:rFonts w:hint="eastAsia" w:ascii="仿宋" w:hAnsi="仿宋" w:eastAsia="仿宋"/>
                <w:b/>
                <w:spacing w:val="20"/>
                <w:sz w:val="18"/>
                <w:szCs w:val="18"/>
                <w:lang w:val="en-US" w:eastAsia="zh-CN"/>
              </w:rPr>
              <w:t>8-16周，秦小舒</w:t>
            </w:r>
          </w:p>
        </w:tc>
      </w:tr>
    </w:tbl>
    <w:p w14:paraId="757C1F4C">
      <w:pPr>
        <w:widowControl/>
        <w:spacing w:line="360" w:lineRule="auto"/>
        <w:rPr>
          <w:bCs/>
          <w:sz w:val="24"/>
          <w:szCs w:val="24"/>
        </w:rPr>
      </w:pPr>
      <w:r>
        <w:rPr>
          <w:rFonts w:hint="eastAsia"/>
          <w:bCs/>
          <w:sz w:val="24"/>
          <w:szCs w:val="24"/>
        </w:rPr>
        <w:t>备注：</w:t>
      </w:r>
    </w:p>
    <w:p w14:paraId="35C98EFC">
      <w:pPr>
        <w:widowControl/>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 xml:space="preserve"> </w:t>
      </w:r>
      <w:r>
        <w:rPr>
          <w:rFonts w:hint="eastAsia" w:ascii="仿宋_GB2312" w:eastAsia="仿宋_GB2312"/>
          <w:sz w:val="24"/>
          <w:szCs w:val="24"/>
        </w:rPr>
        <w:t>总学时=理论学时+实践学时（实践教学含实验和上机教学），总学时=线上学时+线下学时；</w:t>
      </w:r>
    </w:p>
    <w:p w14:paraId="307193B5">
      <w:pPr>
        <w:widowControl/>
        <w:rPr>
          <w:rFonts w:hint="eastAsia" w:ascii="仿宋_GB2312" w:eastAsia="仿宋_GB2312"/>
          <w:sz w:val="24"/>
          <w:szCs w:val="24"/>
        </w:rPr>
      </w:pPr>
      <w:r>
        <w:rPr>
          <w:rFonts w:hint="eastAsia" w:ascii="仿宋_GB2312" w:eastAsia="仿宋_GB2312"/>
          <w:sz w:val="24"/>
          <w:szCs w:val="24"/>
        </w:rPr>
        <w:t>2.</w:t>
      </w:r>
      <w:r>
        <w:rPr>
          <w:rFonts w:ascii="仿宋_GB2312" w:eastAsia="仿宋_GB2312"/>
          <w:sz w:val="24"/>
          <w:szCs w:val="24"/>
        </w:rPr>
        <w:t xml:space="preserve"> </w:t>
      </w:r>
      <w:r>
        <w:rPr>
          <w:rFonts w:hint="eastAsia" w:ascii="仿宋_GB2312" w:eastAsia="仿宋_GB2312"/>
          <w:sz w:val="24"/>
          <w:szCs w:val="24"/>
          <w:highlight w:val="yellow"/>
        </w:rPr>
        <w:t>课程代码</w:t>
      </w:r>
      <w:r>
        <w:rPr>
          <w:rFonts w:hint="eastAsia" w:ascii="仿宋_GB2312" w:eastAsia="仿宋_GB2312"/>
          <w:sz w:val="24"/>
          <w:szCs w:val="24"/>
          <w:highlight w:val="yellow"/>
          <w:lang w:val="en-US" w:eastAsia="zh-CN"/>
        </w:rPr>
        <w:t>由教务处</w:t>
      </w:r>
      <w:r>
        <w:rPr>
          <w:rFonts w:hint="eastAsia" w:ascii="仿宋_GB2312" w:eastAsia="仿宋_GB2312"/>
          <w:sz w:val="24"/>
          <w:szCs w:val="24"/>
          <w:highlight w:val="yellow"/>
        </w:rPr>
        <w:t>统一编制</w:t>
      </w:r>
      <w:r>
        <w:rPr>
          <w:rFonts w:hint="eastAsia" w:ascii="仿宋_GB2312" w:eastAsia="仿宋_GB2312"/>
          <w:sz w:val="24"/>
          <w:szCs w:val="24"/>
          <w:highlight w:val="yellow"/>
          <w:lang w:eastAsia="zh-CN"/>
        </w:rPr>
        <w:t>，</w:t>
      </w:r>
      <w:r>
        <w:rPr>
          <w:rFonts w:hint="eastAsia" w:ascii="仿宋_GB2312" w:eastAsia="仿宋_GB2312"/>
          <w:sz w:val="24"/>
          <w:szCs w:val="24"/>
          <w:highlight w:val="yellow"/>
          <w:lang w:val="en-US" w:eastAsia="zh-CN"/>
        </w:rPr>
        <w:t>若使用已有微专业课程，需在表中填写已有课程代码。若需开设新课，则课程代码不填，由教务处统一编制</w:t>
      </w:r>
      <w:r>
        <w:rPr>
          <w:rFonts w:hint="eastAsia" w:ascii="仿宋_GB2312" w:eastAsia="仿宋_GB2312"/>
          <w:sz w:val="24"/>
          <w:szCs w:val="24"/>
        </w:rPr>
        <w:t>；</w:t>
      </w:r>
    </w:p>
    <w:p w14:paraId="38461A89">
      <w:pPr>
        <w:widowControl/>
        <w:rPr>
          <w:rFonts w:hint="eastAsia" w:ascii="仿宋_GB2312" w:eastAsia="仿宋_GB2312"/>
          <w:sz w:val="24"/>
          <w:szCs w:val="24"/>
          <w:lang w:val="en-US" w:eastAsia="zh-CN"/>
        </w:rPr>
      </w:pPr>
      <w:r>
        <w:rPr>
          <w:rFonts w:hint="eastAsia" w:ascii="仿宋_GB2312" w:eastAsia="仿宋_GB2312"/>
          <w:sz w:val="24"/>
          <w:szCs w:val="24"/>
          <w:lang w:val="en-US" w:eastAsia="zh-CN"/>
        </w:rPr>
        <w:t>3.</w:t>
      </w:r>
      <w:r>
        <w:rPr>
          <w:rFonts w:hint="eastAsia" w:ascii="仿宋_GB2312" w:eastAsia="仿宋_GB2312"/>
          <w:sz w:val="24"/>
          <w:szCs w:val="24"/>
        </w:rPr>
        <w:t>“开课</w:t>
      </w:r>
      <w:r>
        <w:rPr>
          <w:rFonts w:hint="eastAsia" w:ascii="仿宋_GB2312" w:eastAsia="仿宋_GB2312"/>
          <w:sz w:val="24"/>
          <w:szCs w:val="24"/>
          <w:lang w:val="en-US" w:eastAsia="zh-CN"/>
        </w:rPr>
        <w:t>学期</w:t>
      </w:r>
      <w:r>
        <w:rPr>
          <w:rFonts w:hint="eastAsia" w:ascii="仿宋_GB2312" w:eastAsia="仿宋_GB2312"/>
          <w:sz w:val="24"/>
          <w:szCs w:val="24"/>
        </w:rPr>
        <w:t>”</w:t>
      </w:r>
      <w:r>
        <w:rPr>
          <w:rFonts w:hint="eastAsia" w:ascii="仿宋_GB2312" w:eastAsia="仿宋_GB2312"/>
          <w:sz w:val="24"/>
          <w:szCs w:val="24"/>
          <w:lang w:val="en-US" w:eastAsia="zh-CN"/>
        </w:rPr>
        <w:t>要求按照</w:t>
      </w:r>
      <w:r>
        <w:rPr>
          <w:rFonts w:ascii="仿宋_GB2312" w:eastAsia="仿宋_GB2312"/>
          <w:sz w:val="24"/>
          <w:szCs w:val="24"/>
        </w:rPr>
        <w:t>4</w:t>
      </w:r>
      <w:r>
        <w:rPr>
          <w:rFonts w:hint="eastAsia" w:ascii="仿宋_GB2312" w:eastAsia="仿宋_GB2312"/>
          <w:sz w:val="24"/>
          <w:szCs w:val="24"/>
        </w:rPr>
        <w:t>年制内</w:t>
      </w:r>
      <w:r>
        <w:rPr>
          <w:rFonts w:hint="eastAsia" w:ascii="仿宋_GB2312" w:eastAsia="仿宋_GB2312"/>
          <w:sz w:val="24"/>
          <w:szCs w:val="24"/>
          <w:lang w:eastAsia="zh-CN"/>
        </w:rPr>
        <w:t>，</w:t>
      </w:r>
      <w:r>
        <w:rPr>
          <w:rFonts w:hint="eastAsia" w:ascii="仿宋_GB2312" w:eastAsia="仿宋_GB2312"/>
          <w:sz w:val="24"/>
          <w:szCs w:val="24"/>
          <w:lang w:val="en-US" w:eastAsia="zh-CN"/>
        </w:rPr>
        <w:t>于第2</w:t>
      </w:r>
      <w:r>
        <w:rPr>
          <w:rFonts w:hint="eastAsia" w:ascii="仿宋_GB2312" w:eastAsia="仿宋_GB2312"/>
          <w:sz w:val="24"/>
          <w:szCs w:val="24"/>
        </w:rPr>
        <w:t>-1</w:t>
      </w:r>
      <w:r>
        <w:rPr>
          <w:rFonts w:hint="eastAsia" w:ascii="仿宋_GB2312" w:eastAsia="仿宋_GB2312"/>
          <w:sz w:val="24"/>
          <w:szCs w:val="24"/>
          <w:lang w:val="en-US" w:eastAsia="zh-CN"/>
        </w:rPr>
        <w:t>学期开课，结课时间不能晚于4-2学期。各学院微专业连续开设一年至结业，由秋季开课、春季结业；</w:t>
      </w:r>
    </w:p>
    <w:p w14:paraId="7B0B6CD3">
      <w:pPr>
        <w:widowControl/>
        <w:rPr>
          <w:rFonts w:hint="eastAsia" w:ascii="仿宋_GB2312" w:eastAsia="仿宋_GB2312"/>
          <w:sz w:val="24"/>
          <w:szCs w:val="24"/>
          <w:lang w:eastAsia="zh-CN"/>
        </w:rPr>
      </w:pPr>
      <w:r>
        <w:rPr>
          <w:rFonts w:hint="eastAsia" w:ascii="仿宋_GB2312" w:eastAsia="仿宋_GB2312"/>
          <w:sz w:val="24"/>
          <w:szCs w:val="24"/>
          <w:lang w:val="en-US" w:eastAsia="zh-CN"/>
        </w:rPr>
        <w:t>4</w:t>
      </w:r>
      <w:r>
        <w:rPr>
          <w:rFonts w:hint="eastAsia" w:ascii="仿宋_GB2312" w:eastAsia="仿宋_GB2312"/>
          <w:sz w:val="24"/>
          <w:szCs w:val="24"/>
        </w:rPr>
        <w:t>.</w:t>
      </w:r>
      <w:r>
        <w:rPr>
          <w:rFonts w:ascii="仿宋_GB2312" w:eastAsia="仿宋_GB2312"/>
          <w:sz w:val="24"/>
          <w:szCs w:val="24"/>
        </w:rPr>
        <w:t xml:space="preserve"> </w:t>
      </w:r>
      <w:r>
        <w:rPr>
          <w:rFonts w:hint="eastAsia" w:ascii="仿宋_GB2312" w:eastAsia="仿宋_GB2312"/>
          <w:sz w:val="24"/>
          <w:szCs w:val="24"/>
        </w:rPr>
        <w:t>开课单位填写任课教师所在部门或单位</w:t>
      </w:r>
      <w:r>
        <w:rPr>
          <w:rFonts w:hint="eastAsia" w:ascii="仿宋_GB2312" w:eastAsia="仿宋_GB2312"/>
          <w:sz w:val="24"/>
          <w:szCs w:val="24"/>
          <w:lang w:eastAsia="zh-CN"/>
        </w:rPr>
        <w:t>；</w:t>
      </w:r>
    </w:p>
    <w:p w14:paraId="7D71DC53">
      <w:pPr>
        <w:widowControl/>
        <w:rPr>
          <w:rFonts w:hint="eastAsia" w:ascii="仿宋_GB2312" w:eastAsia="仿宋_GB2312"/>
          <w:sz w:val="24"/>
          <w:szCs w:val="24"/>
          <w:lang w:val="en-US" w:eastAsia="zh-CN"/>
        </w:rPr>
      </w:pPr>
      <w:r>
        <w:rPr>
          <w:rFonts w:hint="eastAsia" w:ascii="仿宋_GB2312" w:eastAsia="仿宋_GB2312"/>
          <w:sz w:val="24"/>
          <w:szCs w:val="24"/>
          <w:lang w:val="en-US" w:eastAsia="zh-CN"/>
        </w:rPr>
        <w:t>5. 按照2025版本科人才培养方案修订指导意见要求，微专业总学分原则上不超过16学分；</w:t>
      </w:r>
    </w:p>
    <w:p w14:paraId="7E23B3EB">
      <w:pPr>
        <w:widowControl/>
        <w:rPr>
          <w:rFonts w:hint="eastAsia" w:ascii="仿宋_GB2312" w:eastAsia="仿宋_GB2312"/>
          <w:sz w:val="24"/>
          <w:szCs w:val="24"/>
          <w:lang w:val="en-US" w:eastAsia="zh-CN"/>
        </w:rPr>
      </w:pPr>
      <w:r>
        <w:rPr>
          <w:rFonts w:hint="eastAsia" w:ascii="仿宋_GB2312" w:eastAsia="仿宋_GB2312"/>
          <w:sz w:val="24"/>
          <w:szCs w:val="24"/>
          <w:lang w:val="en-US" w:eastAsia="zh-CN"/>
        </w:rPr>
        <w:t>6. 上课时间需安排在周六日。</w:t>
      </w:r>
    </w:p>
    <w:p w14:paraId="5700AF57">
      <w:pPr>
        <w:widowControl/>
        <w:rPr>
          <w:rFonts w:hint="default" w:ascii="仿宋_GB2312" w:eastAsia="仿宋_GB2312"/>
          <w:sz w:val="24"/>
          <w:szCs w:val="24"/>
          <w:lang w:val="en-US" w:eastAsia="zh-CN"/>
        </w:rPr>
      </w:pPr>
    </w:p>
    <w:p w14:paraId="005AC714">
      <w:pPr>
        <w:widowControl/>
        <w:spacing w:line="360" w:lineRule="auto"/>
        <w:ind w:firstLine="598" w:firstLineChars="187"/>
        <w:jc w:val="left"/>
        <w:rPr>
          <w:rFonts w:ascii="黑体" w:hAnsi="黑体" w:eastAsia="黑体" w:cs="黑体"/>
          <w:bCs/>
          <w:sz w:val="28"/>
          <w:szCs w:val="28"/>
        </w:rPr>
      </w:pPr>
      <w:r>
        <w:rPr>
          <w:sz w:val="32"/>
        </w:rPr>
        <w:br w:type="page"/>
      </w:r>
      <w:r>
        <w:rPr>
          <w:rFonts w:hint="eastAsia" w:ascii="黑体" w:hAnsi="黑体" w:eastAsia="黑体" w:cs="黑体"/>
          <w:bCs/>
          <w:sz w:val="28"/>
          <w:szCs w:val="28"/>
        </w:rPr>
        <w:t>六、课程简介</w:t>
      </w:r>
    </w:p>
    <w:p w14:paraId="3593F773">
      <w:pPr>
        <w:widowControl/>
        <w:spacing w:line="400" w:lineRule="exact"/>
        <w:ind w:firstLine="560" w:firstLineChars="200"/>
        <w:rPr>
          <w:rFonts w:ascii="仿宋_GB2312" w:eastAsia="仿宋_GB2312"/>
          <w:sz w:val="28"/>
          <w:szCs w:val="28"/>
        </w:rPr>
      </w:pPr>
      <w:r>
        <w:rPr>
          <w:rFonts w:hint="eastAsia" w:ascii="仿宋_GB2312" w:eastAsia="仿宋_GB2312"/>
          <w:sz w:val="28"/>
          <w:szCs w:val="28"/>
        </w:rPr>
        <w:t>对本微专业拟开设的课程进行简要介绍，包括课程主要内容、课程教学设计等，每门课300字以内。</w:t>
      </w:r>
    </w:p>
    <w:tbl>
      <w:tblPr>
        <w:tblStyle w:val="2"/>
        <w:tblW w:w="9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1620"/>
        <w:gridCol w:w="6420"/>
      </w:tblGrid>
      <w:tr w14:paraId="5806A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110" w:type="dxa"/>
            <w:tcBorders>
              <w:top w:val="single" w:color="auto" w:sz="4" w:space="0"/>
            </w:tcBorders>
            <w:vAlign w:val="center"/>
          </w:tcPr>
          <w:p w14:paraId="0888BE90">
            <w:pPr>
              <w:widowControl/>
              <w:jc w:val="center"/>
              <w:rPr>
                <w:rFonts w:ascii="黑体" w:hAnsi="黑体" w:eastAsia="黑体" w:cs="黑体"/>
                <w:b/>
                <w:spacing w:val="20"/>
                <w:sz w:val="28"/>
                <w:szCs w:val="28"/>
              </w:rPr>
            </w:pPr>
            <w:r>
              <w:rPr>
                <w:rFonts w:hint="eastAsia" w:ascii="黑体" w:hAnsi="黑体" w:eastAsia="黑体" w:cs="黑体"/>
                <w:b/>
                <w:spacing w:val="20"/>
                <w:sz w:val="28"/>
                <w:szCs w:val="28"/>
              </w:rPr>
              <w:t>序号</w:t>
            </w:r>
          </w:p>
        </w:tc>
        <w:tc>
          <w:tcPr>
            <w:tcW w:w="1620" w:type="dxa"/>
            <w:tcBorders>
              <w:top w:val="single" w:color="auto" w:sz="4" w:space="0"/>
            </w:tcBorders>
            <w:vAlign w:val="center"/>
          </w:tcPr>
          <w:p w14:paraId="01035CA1">
            <w:pPr>
              <w:widowControl/>
              <w:jc w:val="center"/>
              <w:rPr>
                <w:rFonts w:ascii="黑体" w:hAnsi="黑体" w:eastAsia="黑体" w:cs="黑体"/>
                <w:b/>
                <w:spacing w:val="20"/>
                <w:sz w:val="28"/>
                <w:szCs w:val="28"/>
              </w:rPr>
            </w:pPr>
            <w:r>
              <w:rPr>
                <w:rFonts w:hint="eastAsia" w:ascii="黑体" w:hAnsi="黑体" w:eastAsia="黑体" w:cs="黑体"/>
                <w:b/>
                <w:spacing w:val="20"/>
                <w:sz w:val="28"/>
                <w:szCs w:val="28"/>
              </w:rPr>
              <w:t>课程名称</w:t>
            </w:r>
          </w:p>
        </w:tc>
        <w:tc>
          <w:tcPr>
            <w:tcW w:w="6420" w:type="dxa"/>
            <w:tcBorders>
              <w:top w:val="single" w:color="auto" w:sz="4" w:space="0"/>
              <w:bottom w:val="single" w:color="auto" w:sz="4" w:space="0"/>
            </w:tcBorders>
            <w:vAlign w:val="center"/>
          </w:tcPr>
          <w:p w14:paraId="79053672">
            <w:pPr>
              <w:widowControl/>
              <w:jc w:val="center"/>
              <w:rPr>
                <w:rFonts w:ascii="黑体" w:hAnsi="黑体" w:eastAsia="黑体" w:cs="黑体"/>
                <w:bCs/>
                <w:sz w:val="28"/>
                <w:szCs w:val="28"/>
              </w:rPr>
            </w:pPr>
            <w:r>
              <w:rPr>
                <w:rFonts w:hint="eastAsia" w:ascii="黑体" w:hAnsi="黑体" w:eastAsia="黑体" w:cs="黑体"/>
                <w:b/>
                <w:spacing w:val="20"/>
                <w:sz w:val="28"/>
                <w:szCs w:val="28"/>
              </w:rPr>
              <w:t>课程简介</w:t>
            </w:r>
          </w:p>
        </w:tc>
      </w:tr>
      <w:tr w14:paraId="7805C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0" w:hRule="exact"/>
          <w:jc w:val="center"/>
        </w:trPr>
        <w:tc>
          <w:tcPr>
            <w:tcW w:w="1110" w:type="dxa"/>
            <w:vAlign w:val="center"/>
          </w:tcPr>
          <w:p w14:paraId="1287A44F">
            <w:pPr>
              <w:widowControl/>
              <w:jc w:val="center"/>
              <w:rPr>
                <w:rFonts w:ascii="黑体" w:hAnsi="黑体" w:eastAsia="黑体"/>
                <w:bCs/>
                <w:sz w:val="18"/>
                <w:szCs w:val="18"/>
              </w:rPr>
            </w:pPr>
            <w:r>
              <w:rPr>
                <w:rFonts w:hint="eastAsia" w:ascii="黑体" w:hAnsi="黑体" w:eastAsia="黑体"/>
                <w:bCs/>
                <w:sz w:val="18"/>
                <w:szCs w:val="18"/>
              </w:rPr>
              <w:t>1</w:t>
            </w:r>
          </w:p>
        </w:tc>
        <w:tc>
          <w:tcPr>
            <w:tcW w:w="1620" w:type="dxa"/>
            <w:shd w:val="clear" w:color="auto" w:fill="auto"/>
            <w:vAlign w:val="center"/>
          </w:tcPr>
          <w:p w14:paraId="78B735A0">
            <w:pPr>
              <w:widowControl/>
              <w:jc w:val="center"/>
              <w:rPr>
                <w:rFonts w:ascii="华文仿宋" w:hAnsi="华文仿宋" w:eastAsia="华文仿宋" w:cs="Times New Roman"/>
                <w:bCs/>
                <w:sz w:val="18"/>
                <w:szCs w:val="18"/>
                <w:lang w:val="en-US" w:eastAsia="zh-CN" w:bidi="ar-SA"/>
              </w:rPr>
            </w:pPr>
            <w:r>
              <w:rPr>
                <w:rFonts w:hint="eastAsia" w:ascii="华文仿宋" w:hAnsi="华文仿宋" w:eastAsia="华文仿宋"/>
                <w:bCs/>
                <w:sz w:val="18"/>
                <w:szCs w:val="18"/>
              </w:rPr>
              <w:t>可持续发展导论</w:t>
            </w:r>
          </w:p>
        </w:tc>
        <w:tc>
          <w:tcPr>
            <w:tcW w:w="6420" w:type="dxa"/>
            <w:tcBorders>
              <w:top w:val="single" w:color="auto" w:sz="4" w:space="0"/>
              <w:bottom w:val="single" w:color="auto" w:sz="4" w:space="0"/>
            </w:tcBorders>
            <w:shd w:val="clear" w:color="auto" w:fill="auto"/>
            <w:vAlign w:val="top"/>
          </w:tcPr>
          <w:p w14:paraId="2F6C7379">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《可持续发展导论》旨在帮助学生深入理解可持续发展理念与实践，本课程将带领学生探讨全球范围内的环境、经济和社会问题，以及这些问题如何相互关联并影响可持续发展的实现。</w:t>
            </w:r>
          </w:p>
          <w:p w14:paraId="7B07B433">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学习过程中，学生将深入了解可持续发展的历史背景、核心原则、关键挑战和未来前景。课程将重点关注气候变化、自然资源管理、能源转型、生态保护等热点议题，并讨论政府、企业和社会团体在推动可持续发展方面的作用。</w:t>
            </w:r>
          </w:p>
          <w:p w14:paraId="1E911BFA">
            <w:pPr>
              <w:widowControl/>
              <w:ind w:firstLine="360" w:firstLineChars="200"/>
              <w:jc w:val="left"/>
              <w:rPr>
                <w:rFonts w:ascii="华文仿宋" w:hAnsi="华文仿宋" w:eastAsia="华文仿宋" w:cs="Times New Roman"/>
                <w:bCs/>
                <w:sz w:val="18"/>
                <w:szCs w:val="18"/>
                <w:lang w:val="en-US" w:eastAsia="zh-CN" w:bidi="ar-SA"/>
              </w:rPr>
            </w:pPr>
            <w:r>
              <w:rPr>
                <w:rFonts w:hint="eastAsia" w:ascii="华文仿宋" w:hAnsi="华文仿宋" w:eastAsia="华文仿宋"/>
                <w:bCs/>
                <w:sz w:val="18"/>
                <w:szCs w:val="18"/>
              </w:rPr>
              <w:t>通过案例分析、小组讨论等互动式学习方式，学生将培养批判性思维、创新能力和团队协作精神。课程还将强调可持续发展的个人责任，鼓励学生反思自身的生活方式，并探索如何在日常生活中为可持续发展做出贡献。通过本课程的学习，学生将对可持续发展有更深刻的理解，并初步具备推动社会变革的意识与能力。</w:t>
            </w:r>
          </w:p>
        </w:tc>
      </w:tr>
      <w:tr w14:paraId="2F5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9" w:hRule="exact"/>
          <w:jc w:val="center"/>
        </w:trPr>
        <w:tc>
          <w:tcPr>
            <w:tcW w:w="1110" w:type="dxa"/>
            <w:vAlign w:val="center"/>
          </w:tcPr>
          <w:p w14:paraId="10F60E96">
            <w:pPr>
              <w:widowControl/>
              <w:jc w:val="center"/>
              <w:rPr>
                <w:rFonts w:ascii="黑体" w:hAnsi="黑体" w:eastAsia="黑体"/>
                <w:bCs/>
                <w:sz w:val="18"/>
                <w:szCs w:val="18"/>
              </w:rPr>
            </w:pPr>
            <w:r>
              <w:rPr>
                <w:rFonts w:hint="eastAsia" w:ascii="黑体" w:hAnsi="黑体" w:eastAsia="黑体"/>
                <w:bCs/>
                <w:sz w:val="18"/>
                <w:szCs w:val="18"/>
              </w:rPr>
              <w:t>2</w:t>
            </w:r>
          </w:p>
        </w:tc>
        <w:tc>
          <w:tcPr>
            <w:tcW w:w="1620" w:type="dxa"/>
            <w:shd w:val="clear" w:color="auto" w:fill="auto"/>
            <w:vAlign w:val="center"/>
          </w:tcPr>
          <w:p w14:paraId="4A9A525B">
            <w:pPr>
              <w:widowControl/>
              <w:jc w:val="center"/>
              <w:rPr>
                <w:rFonts w:ascii="华文仿宋" w:hAnsi="华文仿宋" w:eastAsia="华文仿宋" w:cs="Times New Roman"/>
                <w:bCs/>
                <w:sz w:val="18"/>
                <w:szCs w:val="18"/>
                <w:lang w:val="en-US" w:eastAsia="zh-CN" w:bidi="ar-SA"/>
              </w:rPr>
            </w:pPr>
            <w:r>
              <w:rPr>
                <w:rFonts w:hint="eastAsia" w:ascii="华文仿宋" w:hAnsi="华文仿宋" w:eastAsia="华文仿宋"/>
                <w:bCs/>
                <w:spacing w:val="20"/>
                <w:sz w:val="18"/>
                <w:szCs w:val="18"/>
              </w:rPr>
              <w:t>气候经济学</w:t>
            </w:r>
          </w:p>
        </w:tc>
        <w:tc>
          <w:tcPr>
            <w:tcW w:w="6420" w:type="dxa"/>
            <w:tcBorders>
              <w:top w:val="single" w:color="auto" w:sz="4" w:space="0"/>
              <w:bottom w:val="single" w:color="auto" w:sz="4" w:space="0"/>
            </w:tcBorders>
            <w:shd w:val="clear" w:color="auto" w:fill="auto"/>
            <w:vAlign w:val="top"/>
          </w:tcPr>
          <w:p w14:paraId="1A95A771">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《气候经济学》是一门涉及气候变化与经济学的交叉学科课程。本课程将帮助学生了解气候变化，尤其是极端天气和全球变暖的经济影响以及应对气候变化的政策措施。</w:t>
            </w:r>
          </w:p>
          <w:p w14:paraId="52E24F6B">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课程将涵盖气候变化的历史背景、科学原理、影响因素以及全球范围内的应对措施。学生将学习到如何评估气候变化对经济、社会和环境的影响，以及如何运用经济学原理分析气候变化的解决方案。</w:t>
            </w:r>
          </w:p>
          <w:p w14:paraId="314A4FD3">
            <w:pPr>
              <w:widowControl/>
              <w:ind w:firstLine="360" w:firstLineChars="200"/>
              <w:jc w:val="left"/>
              <w:rPr>
                <w:rFonts w:ascii="华文仿宋" w:hAnsi="华文仿宋" w:eastAsia="华文仿宋" w:cs="Times New Roman"/>
                <w:bCs/>
                <w:sz w:val="18"/>
                <w:szCs w:val="18"/>
                <w:lang w:val="en-US" w:eastAsia="zh-CN" w:bidi="ar-SA"/>
              </w:rPr>
            </w:pPr>
            <w:r>
              <w:rPr>
                <w:rFonts w:hint="eastAsia" w:ascii="华文仿宋" w:hAnsi="华文仿宋" w:eastAsia="华文仿宋"/>
                <w:bCs/>
                <w:sz w:val="18"/>
                <w:szCs w:val="18"/>
              </w:rPr>
              <w:t>课程将探讨碳市场、绿色金融、气候适应、绿色溢价等议题，并介绍国际社会在应对气候变化方面的合作与竞争。此外，学生还将了解低碳技术和创新在应对气候变化中的作用，以及如何推动可持续发展与气候行动的协调。通过学习本课程，学生将增强对气候变化问题的理解，培养分析和解决问题的能力，并为未来的职业和公民生活做好准备。</w:t>
            </w:r>
          </w:p>
        </w:tc>
      </w:tr>
      <w:tr w14:paraId="7DAA5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9" w:hRule="exact"/>
          <w:jc w:val="center"/>
        </w:trPr>
        <w:tc>
          <w:tcPr>
            <w:tcW w:w="1110" w:type="dxa"/>
            <w:vAlign w:val="center"/>
          </w:tcPr>
          <w:p w14:paraId="0B8828FF">
            <w:pPr>
              <w:widowControl/>
              <w:jc w:val="center"/>
              <w:rPr>
                <w:rFonts w:ascii="黑体" w:hAnsi="黑体" w:eastAsia="黑体"/>
                <w:bCs/>
                <w:sz w:val="18"/>
                <w:szCs w:val="18"/>
              </w:rPr>
            </w:pPr>
            <w:r>
              <w:rPr>
                <w:rFonts w:hint="eastAsia" w:ascii="黑体" w:hAnsi="黑体" w:eastAsia="黑体"/>
                <w:bCs/>
                <w:sz w:val="18"/>
                <w:szCs w:val="18"/>
              </w:rPr>
              <w:t>3</w:t>
            </w:r>
          </w:p>
        </w:tc>
        <w:tc>
          <w:tcPr>
            <w:tcW w:w="1620" w:type="dxa"/>
            <w:shd w:val="clear" w:color="auto" w:fill="auto"/>
            <w:vAlign w:val="center"/>
          </w:tcPr>
          <w:p w14:paraId="019963E1">
            <w:pPr>
              <w:widowControl/>
              <w:jc w:val="center"/>
              <w:rPr>
                <w:rFonts w:ascii="华文仿宋" w:hAnsi="华文仿宋" w:eastAsia="华文仿宋" w:cs="Times New Roman"/>
                <w:bCs/>
                <w:sz w:val="18"/>
                <w:szCs w:val="18"/>
                <w:lang w:val="en-US" w:eastAsia="zh-CN" w:bidi="ar-SA"/>
              </w:rPr>
            </w:pPr>
            <w:r>
              <w:rPr>
                <w:rFonts w:hint="eastAsia" w:ascii="华文仿宋" w:hAnsi="华文仿宋" w:eastAsia="华文仿宋"/>
                <w:bCs/>
                <w:spacing w:val="20"/>
                <w:sz w:val="18"/>
                <w:szCs w:val="18"/>
              </w:rPr>
              <w:t>E</w:t>
            </w:r>
            <w:r>
              <w:rPr>
                <w:rFonts w:ascii="华文仿宋" w:hAnsi="华文仿宋" w:eastAsia="华文仿宋"/>
                <w:bCs/>
                <w:spacing w:val="20"/>
                <w:sz w:val="18"/>
                <w:szCs w:val="18"/>
              </w:rPr>
              <w:t>SG</w:t>
            </w:r>
            <w:r>
              <w:rPr>
                <w:rFonts w:hint="eastAsia" w:ascii="华文仿宋" w:hAnsi="华文仿宋" w:eastAsia="华文仿宋"/>
                <w:bCs/>
                <w:spacing w:val="20"/>
                <w:sz w:val="18"/>
                <w:szCs w:val="18"/>
              </w:rPr>
              <w:t>信息披露</w:t>
            </w:r>
          </w:p>
        </w:tc>
        <w:tc>
          <w:tcPr>
            <w:tcW w:w="6420" w:type="dxa"/>
            <w:tcBorders>
              <w:top w:val="single" w:color="auto" w:sz="4" w:space="0"/>
              <w:bottom w:val="single" w:color="auto" w:sz="4" w:space="0"/>
            </w:tcBorders>
            <w:shd w:val="clear" w:color="auto" w:fill="auto"/>
            <w:vAlign w:val="top"/>
          </w:tcPr>
          <w:p w14:paraId="2AAEF93A">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《ESG 信息披露》是一门聚焦于环境、社会和治理（ESG）因素对企业影响以及企业如何有效披露 ESG 信息的课程。本课程将帮助学生了解 ESG 因素如何影响企业的战略、财务表现和社会责任，同时掌握如何编制和解读 ESG 报告。</w:t>
            </w:r>
          </w:p>
          <w:p w14:paraId="28A63BB7">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课程将涵盖 ESG 概念、重要性及其对企业发展的影响。学生将学习到如何评估 ESG 风险和机会，并将这些因素纳入投资决策和公司战略中。此外，课程还将探讨企业如何制定有效的 ESG 战略，以实现可持续发展并提升企业价值。</w:t>
            </w:r>
          </w:p>
          <w:p w14:paraId="062CFB3E">
            <w:pPr>
              <w:widowControl/>
              <w:ind w:firstLine="360" w:firstLineChars="200"/>
              <w:jc w:val="left"/>
              <w:rPr>
                <w:rFonts w:ascii="华文仿宋" w:hAnsi="华文仿宋" w:eastAsia="华文仿宋" w:cs="Times New Roman"/>
                <w:bCs/>
                <w:sz w:val="18"/>
                <w:szCs w:val="18"/>
                <w:lang w:val="en-US" w:eastAsia="zh-CN" w:bidi="ar-SA"/>
              </w:rPr>
            </w:pPr>
            <w:r>
              <w:rPr>
                <w:rFonts w:hint="eastAsia" w:ascii="华文仿宋" w:hAnsi="华文仿宋" w:eastAsia="华文仿宋"/>
                <w:bCs/>
                <w:sz w:val="18"/>
                <w:szCs w:val="18"/>
              </w:rPr>
              <w:t>通过案例研究、角色扮演和小组讨论等形式，学生将培养批判性思维、创新能力和团队协作精神。本课程还将介绍国际上关于 ESG 信息披露的最新法规和最佳实践，帮助学生了解如何遵守相关法规并提升 ESG 报告的质量。通过学习本课程，学生将增强对 ESG 信息的理解，培养编制和解读 ESG 报告的能力，并为未来的职业发展做好准备。</w:t>
            </w:r>
          </w:p>
        </w:tc>
      </w:tr>
      <w:tr w14:paraId="46F50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4" w:hRule="exact"/>
          <w:jc w:val="center"/>
        </w:trPr>
        <w:tc>
          <w:tcPr>
            <w:tcW w:w="1110" w:type="dxa"/>
            <w:vAlign w:val="center"/>
          </w:tcPr>
          <w:p w14:paraId="0B65AF2A">
            <w:pPr>
              <w:widowControl/>
              <w:jc w:val="center"/>
              <w:rPr>
                <w:rFonts w:ascii="黑体" w:hAnsi="黑体" w:eastAsia="黑体"/>
                <w:bCs/>
                <w:sz w:val="18"/>
                <w:szCs w:val="18"/>
              </w:rPr>
            </w:pPr>
            <w:r>
              <w:rPr>
                <w:rFonts w:hint="eastAsia" w:ascii="黑体" w:hAnsi="黑体" w:eastAsia="黑体"/>
                <w:bCs/>
                <w:sz w:val="18"/>
                <w:szCs w:val="18"/>
              </w:rPr>
              <w:t>4</w:t>
            </w:r>
          </w:p>
        </w:tc>
        <w:tc>
          <w:tcPr>
            <w:tcW w:w="1620" w:type="dxa"/>
            <w:shd w:val="clear" w:color="auto" w:fill="auto"/>
            <w:vAlign w:val="center"/>
          </w:tcPr>
          <w:p w14:paraId="56FD8BBD">
            <w:pPr>
              <w:widowControl/>
              <w:jc w:val="center"/>
              <w:rPr>
                <w:rFonts w:ascii="华文仿宋" w:hAnsi="华文仿宋" w:eastAsia="华文仿宋" w:cs="Times New Roman"/>
                <w:bCs/>
                <w:sz w:val="18"/>
                <w:szCs w:val="18"/>
                <w:lang w:val="en-US" w:eastAsia="zh-CN" w:bidi="ar-SA"/>
              </w:rPr>
            </w:pPr>
            <w:r>
              <w:rPr>
                <w:rFonts w:hint="eastAsia" w:ascii="华文仿宋" w:hAnsi="华文仿宋" w:eastAsia="华文仿宋"/>
                <w:bCs/>
                <w:spacing w:val="20"/>
                <w:sz w:val="18"/>
                <w:szCs w:val="18"/>
              </w:rPr>
              <w:t>绿色金融</w:t>
            </w:r>
          </w:p>
        </w:tc>
        <w:tc>
          <w:tcPr>
            <w:tcW w:w="6420" w:type="dxa"/>
            <w:tcBorders>
              <w:top w:val="single" w:color="auto" w:sz="4" w:space="0"/>
              <w:bottom w:val="single" w:color="auto" w:sz="4" w:space="0"/>
            </w:tcBorders>
            <w:shd w:val="clear" w:color="auto" w:fill="auto"/>
            <w:vAlign w:val="top"/>
          </w:tcPr>
          <w:p w14:paraId="2F55AB44">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《绿色金融》是一门旨在培养学生理解和应用绿色金融概念、工具和解决方案的课程。本课程将介绍绿色金融的定义、目标和主要实践，并探讨其对企业、金融机构和整个经济的影响。</w:t>
            </w:r>
          </w:p>
          <w:p w14:paraId="75970D1F">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课程将涵盖绿色金融的主要领域，包括绿色投资、绿色贷款、绿色债券和绿色保险等。学生将了解这些金融工具如何促进环境保护、应对气候变化并推动可持续发展。此外，课程还将介绍国际上关于绿色金融的最新标准和最佳实践，以及中国和其他国家的绿色金融政策和实践。</w:t>
            </w:r>
          </w:p>
          <w:p w14:paraId="1807C202">
            <w:pPr>
              <w:widowControl/>
              <w:ind w:firstLine="360" w:firstLineChars="200"/>
              <w:jc w:val="left"/>
              <w:rPr>
                <w:rFonts w:ascii="华文仿宋" w:hAnsi="华文仿宋" w:eastAsia="华文仿宋" w:cs="Times New Roman"/>
                <w:bCs/>
                <w:sz w:val="18"/>
                <w:szCs w:val="18"/>
                <w:lang w:val="en-US" w:eastAsia="zh-CN" w:bidi="ar-SA"/>
              </w:rPr>
            </w:pPr>
            <w:r>
              <w:rPr>
                <w:rFonts w:hint="eastAsia" w:ascii="华文仿宋" w:hAnsi="华文仿宋" w:eastAsia="华文仿宋"/>
                <w:bCs/>
                <w:sz w:val="18"/>
                <w:szCs w:val="18"/>
              </w:rPr>
              <w:t>本课程强调企业社会责任和可持续发展的重要性，鼓励学生思考如何在未来的职业生涯中应用绿色金融理念和实践。通过学习本课程，学生将增强对绿色金融的理解和应用能力，并为未来的职业和公民生涯做好准备。</w:t>
            </w:r>
          </w:p>
        </w:tc>
      </w:tr>
      <w:tr w14:paraId="2C385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9" w:hRule="exact"/>
          <w:jc w:val="center"/>
        </w:trPr>
        <w:tc>
          <w:tcPr>
            <w:tcW w:w="1110" w:type="dxa"/>
            <w:vAlign w:val="center"/>
          </w:tcPr>
          <w:p w14:paraId="412EF740">
            <w:pPr>
              <w:widowControl/>
              <w:jc w:val="center"/>
              <w:rPr>
                <w:rFonts w:ascii="黑体" w:hAnsi="黑体" w:eastAsia="黑体"/>
                <w:bCs/>
                <w:sz w:val="18"/>
                <w:szCs w:val="18"/>
              </w:rPr>
            </w:pPr>
            <w:r>
              <w:rPr>
                <w:rFonts w:hint="eastAsia" w:ascii="黑体" w:hAnsi="黑体" w:eastAsia="黑体"/>
                <w:bCs/>
                <w:sz w:val="18"/>
                <w:szCs w:val="18"/>
              </w:rPr>
              <w:t>5</w:t>
            </w:r>
          </w:p>
        </w:tc>
        <w:tc>
          <w:tcPr>
            <w:tcW w:w="1620" w:type="dxa"/>
            <w:shd w:val="clear" w:color="auto" w:fill="auto"/>
            <w:vAlign w:val="center"/>
          </w:tcPr>
          <w:p w14:paraId="41D01BFB">
            <w:pPr>
              <w:widowControl/>
              <w:jc w:val="center"/>
              <w:rPr>
                <w:rFonts w:ascii="华文仿宋" w:hAnsi="华文仿宋" w:eastAsia="华文仿宋" w:cs="Times New Roman"/>
                <w:bCs/>
                <w:sz w:val="18"/>
                <w:szCs w:val="18"/>
                <w:lang w:val="en-US" w:eastAsia="zh-CN" w:bidi="ar-SA"/>
              </w:rPr>
            </w:pPr>
            <w:r>
              <w:rPr>
                <w:rFonts w:hint="eastAsia" w:ascii="华文仿宋" w:hAnsi="华文仿宋" w:eastAsia="华文仿宋"/>
                <w:bCs/>
                <w:spacing w:val="20"/>
                <w:sz w:val="18"/>
                <w:szCs w:val="18"/>
              </w:rPr>
              <w:t>Python在可持续化发展中的应用</w:t>
            </w:r>
          </w:p>
        </w:tc>
        <w:tc>
          <w:tcPr>
            <w:tcW w:w="6420" w:type="dxa"/>
            <w:tcBorders>
              <w:top w:val="single" w:color="auto" w:sz="4" w:space="0"/>
              <w:bottom w:val="single" w:color="auto" w:sz="4" w:space="0"/>
            </w:tcBorders>
            <w:shd w:val="clear" w:color="auto" w:fill="auto"/>
            <w:vAlign w:val="top"/>
          </w:tcPr>
          <w:p w14:paraId="1D3953C7">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《Python在可持续化发展中的应用》是一门探讨如何利用Python编程语言促进可持续发展实践的课程。本课程将主要介绍Python在能源管理、智慧城市、社会经济数据、商业金融分析等方面的应用。</w:t>
            </w:r>
          </w:p>
          <w:p w14:paraId="1ADCFE47">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课程将涵盖Python的基础语法和数据结构，以及如何使用Python进行数据分析和可视化。学生将学习如何利用Python获取和处理可持续发展数据，例如极端天气的应对、生物多样化、城市组织能源消耗等。</w:t>
            </w:r>
          </w:p>
          <w:p w14:paraId="0F151846">
            <w:pPr>
              <w:widowControl/>
              <w:ind w:firstLine="360" w:firstLineChars="200"/>
              <w:jc w:val="left"/>
              <w:rPr>
                <w:rFonts w:ascii="华文仿宋" w:hAnsi="华文仿宋" w:eastAsia="华文仿宋" w:cs="Times New Roman"/>
                <w:bCs/>
                <w:sz w:val="18"/>
                <w:szCs w:val="18"/>
                <w:lang w:val="en-US" w:eastAsia="zh-CN" w:bidi="ar-SA"/>
              </w:rPr>
            </w:pPr>
            <w:r>
              <w:rPr>
                <w:rFonts w:hint="eastAsia" w:ascii="华文仿宋" w:hAnsi="华文仿宋" w:eastAsia="华文仿宋"/>
                <w:bCs/>
                <w:sz w:val="18"/>
                <w:szCs w:val="18"/>
              </w:rPr>
              <w:t>本课程通过项目实践和案例分析，学生将了解如何使用Python解决实际可持续发展问题。课程还将强调数据隐私和安全性在可持续发展中的重要性，并鼓励学生思考如何在使用Python促进可持续发展的同时保护个人和组织的数据安全。</w:t>
            </w:r>
          </w:p>
        </w:tc>
      </w:tr>
      <w:tr w14:paraId="41F0B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9" w:hRule="exact"/>
          <w:jc w:val="center"/>
        </w:trPr>
        <w:tc>
          <w:tcPr>
            <w:tcW w:w="1110" w:type="dxa"/>
            <w:vAlign w:val="center"/>
          </w:tcPr>
          <w:p w14:paraId="08C60F2E">
            <w:pPr>
              <w:widowControl/>
              <w:jc w:val="center"/>
              <w:rPr>
                <w:rFonts w:ascii="黑体" w:hAnsi="黑体" w:eastAsia="黑体"/>
                <w:bCs/>
                <w:sz w:val="18"/>
                <w:szCs w:val="18"/>
              </w:rPr>
            </w:pPr>
            <w:r>
              <w:rPr>
                <w:rFonts w:hint="eastAsia" w:ascii="黑体" w:hAnsi="黑体" w:eastAsia="黑体"/>
                <w:bCs/>
                <w:sz w:val="18"/>
                <w:szCs w:val="18"/>
              </w:rPr>
              <w:t>6</w:t>
            </w:r>
          </w:p>
        </w:tc>
        <w:tc>
          <w:tcPr>
            <w:tcW w:w="1620" w:type="dxa"/>
            <w:shd w:val="clear" w:color="auto" w:fill="auto"/>
            <w:vAlign w:val="center"/>
          </w:tcPr>
          <w:p w14:paraId="3140FA08">
            <w:pPr>
              <w:widowControl/>
              <w:jc w:val="center"/>
              <w:rPr>
                <w:rFonts w:ascii="华文仿宋" w:hAnsi="华文仿宋" w:eastAsia="华文仿宋" w:cs="Times New Roman"/>
                <w:bCs/>
                <w:sz w:val="18"/>
                <w:szCs w:val="18"/>
                <w:lang w:val="en-US" w:eastAsia="zh-CN" w:bidi="ar-SA"/>
              </w:rPr>
            </w:pPr>
            <w:r>
              <w:rPr>
                <w:rFonts w:hint="eastAsia" w:ascii="华文仿宋" w:hAnsi="华文仿宋" w:eastAsia="华文仿宋"/>
                <w:bCs/>
                <w:spacing w:val="20"/>
                <w:sz w:val="18"/>
                <w:szCs w:val="18"/>
              </w:rPr>
              <w:t>量化责任投资</w:t>
            </w:r>
          </w:p>
        </w:tc>
        <w:tc>
          <w:tcPr>
            <w:tcW w:w="6420" w:type="dxa"/>
            <w:tcBorders>
              <w:top w:val="single" w:color="auto" w:sz="4" w:space="0"/>
              <w:bottom w:val="single" w:color="auto" w:sz="4" w:space="0"/>
            </w:tcBorders>
            <w:shd w:val="clear" w:color="auto" w:fill="auto"/>
            <w:vAlign w:val="top"/>
          </w:tcPr>
          <w:p w14:paraId="75F2CE07">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《量化责任投资》是一门将量化分析和责任投资相结合的跨学科课程。本课程将帮助学生了解量化责任投资的基本概念、方法和实践，并培养运用量化工具进行责任投资的能力。</w:t>
            </w:r>
          </w:p>
          <w:p w14:paraId="761A2799">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课程将涵盖量化责任投资的历史背景、理论基础和实践意义。学生将学习到如何运用量化分析工具评估公司的环境、社会和治理（ESG）表现，并将这些因素纳入投资决策中。此外，课程还将探讨如何运用数据科学、机器学习等技术来优化投资组合，实现可持续的财务回报。</w:t>
            </w:r>
          </w:p>
          <w:p w14:paraId="5421E376">
            <w:pPr>
              <w:widowControl/>
              <w:ind w:firstLine="360" w:firstLineChars="200"/>
              <w:jc w:val="left"/>
              <w:rPr>
                <w:rFonts w:ascii="华文仿宋" w:hAnsi="华文仿宋" w:eastAsia="华文仿宋" w:cs="Times New Roman"/>
                <w:bCs/>
                <w:sz w:val="18"/>
                <w:szCs w:val="18"/>
                <w:lang w:val="en-US" w:eastAsia="zh-CN" w:bidi="ar-SA"/>
              </w:rPr>
            </w:pPr>
            <w:r>
              <w:rPr>
                <w:rFonts w:hint="eastAsia" w:ascii="华文仿宋" w:hAnsi="华文仿宋" w:eastAsia="华文仿宋"/>
                <w:bCs/>
                <w:sz w:val="18"/>
                <w:szCs w:val="18"/>
              </w:rPr>
              <w:t>通过案例分析、角色扮演和小组讨论等形式，学生将培养批判性思维、创新能力和团队协作精神。本课程还将介绍国际上关于量化责任投资的最新法规和最佳实践，帮助学生了解如何遵守相关法规并提升量化责任投资组合的质量。</w:t>
            </w:r>
          </w:p>
        </w:tc>
      </w:tr>
      <w:tr w14:paraId="6B0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4" w:hRule="exact"/>
          <w:jc w:val="center"/>
        </w:trPr>
        <w:tc>
          <w:tcPr>
            <w:tcW w:w="1110" w:type="dxa"/>
            <w:vAlign w:val="center"/>
          </w:tcPr>
          <w:p w14:paraId="4AA43C90">
            <w:pPr>
              <w:widowControl/>
              <w:jc w:val="center"/>
              <w:rPr>
                <w:rFonts w:ascii="黑体" w:hAnsi="黑体" w:eastAsia="黑体"/>
                <w:bCs/>
                <w:sz w:val="18"/>
                <w:szCs w:val="18"/>
              </w:rPr>
            </w:pPr>
            <w:r>
              <w:rPr>
                <w:rFonts w:hint="eastAsia" w:ascii="黑体" w:hAnsi="黑体" w:eastAsia="黑体"/>
                <w:bCs/>
                <w:sz w:val="18"/>
                <w:szCs w:val="18"/>
              </w:rPr>
              <w:t>7</w:t>
            </w:r>
          </w:p>
        </w:tc>
        <w:tc>
          <w:tcPr>
            <w:tcW w:w="1620" w:type="dxa"/>
            <w:shd w:val="clear" w:color="auto" w:fill="auto"/>
            <w:vAlign w:val="center"/>
          </w:tcPr>
          <w:p w14:paraId="19B438F5">
            <w:pPr>
              <w:widowControl/>
              <w:jc w:val="center"/>
              <w:rPr>
                <w:rFonts w:ascii="华文仿宋" w:hAnsi="华文仿宋" w:eastAsia="华文仿宋" w:cs="Times New Roman"/>
                <w:bCs/>
                <w:sz w:val="18"/>
                <w:szCs w:val="18"/>
                <w:lang w:val="en-US" w:eastAsia="zh-CN" w:bidi="ar-SA"/>
              </w:rPr>
            </w:pPr>
            <w:r>
              <w:rPr>
                <w:rFonts w:hint="eastAsia" w:ascii="华文仿宋" w:hAnsi="华文仿宋" w:eastAsia="华文仿宋"/>
                <w:bCs/>
                <w:spacing w:val="20"/>
                <w:sz w:val="18"/>
                <w:szCs w:val="18"/>
              </w:rPr>
              <w:t>碳核算与碳管理</w:t>
            </w:r>
          </w:p>
        </w:tc>
        <w:tc>
          <w:tcPr>
            <w:tcW w:w="6420" w:type="dxa"/>
            <w:tcBorders>
              <w:top w:val="single" w:color="auto" w:sz="4" w:space="0"/>
              <w:bottom w:val="single" w:color="auto" w:sz="4" w:space="0"/>
            </w:tcBorders>
            <w:shd w:val="clear" w:color="auto" w:fill="auto"/>
            <w:vAlign w:val="top"/>
          </w:tcPr>
          <w:p w14:paraId="15A35561">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《碳核算与碳管理》是一门聚焦于碳核算与碳管理的理论与实践的课程。本课程将帮助学生了解碳核算的基本原理和方法，并掌握如何进行碳排放量化和碳管理。</w:t>
            </w:r>
          </w:p>
          <w:p w14:paraId="57762FDB">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课程将涵盖碳核算的历史背景、科学原理及影响因素。学生将学习到如何运用碳核算方法评估组织或产品的碳排放量，并了解如何制定有效的碳管理策略。此外，课程还将探讨国际碳排放交易机制和低碳经济的发展趋势，以及企业如何降低碳排放并推动可持续发展。</w:t>
            </w:r>
          </w:p>
          <w:p w14:paraId="00C1523C">
            <w:pPr>
              <w:widowControl/>
              <w:ind w:firstLine="360" w:firstLineChars="200"/>
              <w:jc w:val="left"/>
              <w:rPr>
                <w:rFonts w:ascii="华文仿宋" w:hAnsi="华文仿宋" w:eastAsia="华文仿宋" w:cs="Times New Roman"/>
                <w:bCs/>
                <w:sz w:val="18"/>
                <w:szCs w:val="18"/>
                <w:lang w:val="en-US" w:eastAsia="zh-CN" w:bidi="ar-SA"/>
              </w:rPr>
            </w:pPr>
            <w:r>
              <w:rPr>
                <w:rFonts w:hint="eastAsia" w:ascii="华文仿宋" w:hAnsi="华文仿宋" w:eastAsia="华文仿宋"/>
                <w:bCs/>
                <w:sz w:val="18"/>
                <w:szCs w:val="18"/>
              </w:rPr>
              <w:t>通过案例分析、角色扮演和小组讨论等形式，学生将培养批判性思维、创新能力和团队协作精神。本课程还将强调碳排放数据的质量要求和安全性在碳管理中的重要性，并鼓励学生思考如何在实际工作中应用碳核算与碳管理的知识和技能。</w:t>
            </w:r>
          </w:p>
        </w:tc>
      </w:tr>
      <w:tr w14:paraId="3A1C8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4" w:hRule="exact"/>
          <w:jc w:val="center"/>
        </w:trPr>
        <w:tc>
          <w:tcPr>
            <w:tcW w:w="1110" w:type="dxa"/>
            <w:vAlign w:val="center"/>
          </w:tcPr>
          <w:p w14:paraId="36A36395">
            <w:pPr>
              <w:widowControl/>
              <w:jc w:val="center"/>
              <w:rPr>
                <w:rFonts w:ascii="黑体" w:hAnsi="黑体" w:eastAsia="黑体"/>
                <w:bCs/>
                <w:sz w:val="18"/>
                <w:szCs w:val="18"/>
              </w:rPr>
            </w:pPr>
            <w:r>
              <w:rPr>
                <w:rFonts w:hint="eastAsia" w:ascii="黑体" w:hAnsi="黑体" w:eastAsia="黑体"/>
                <w:bCs/>
                <w:sz w:val="18"/>
                <w:szCs w:val="18"/>
              </w:rPr>
              <w:t>8</w:t>
            </w:r>
          </w:p>
        </w:tc>
        <w:tc>
          <w:tcPr>
            <w:tcW w:w="1620" w:type="dxa"/>
            <w:shd w:val="clear" w:color="auto" w:fill="auto"/>
            <w:vAlign w:val="center"/>
          </w:tcPr>
          <w:p w14:paraId="35302CE9">
            <w:pPr>
              <w:widowControl/>
              <w:jc w:val="center"/>
              <w:rPr>
                <w:rFonts w:ascii="华文仿宋" w:hAnsi="华文仿宋" w:eastAsia="华文仿宋" w:cs="Times New Roman"/>
                <w:bCs/>
                <w:sz w:val="18"/>
                <w:szCs w:val="18"/>
                <w:lang w:val="en-US" w:eastAsia="zh-CN" w:bidi="ar-SA"/>
              </w:rPr>
            </w:pPr>
            <w:r>
              <w:rPr>
                <w:rFonts w:hint="eastAsia" w:ascii="华文仿宋" w:hAnsi="华文仿宋" w:eastAsia="华文仿宋"/>
                <w:bCs/>
                <w:spacing w:val="20"/>
                <w:sz w:val="18"/>
                <w:szCs w:val="18"/>
              </w:rPr>
              <w:t>碳交易</w:t>
            </w:r>
          </w:p>
        </w:tc>
        <w:tc>
          <w:tcPr>
            <w:tcW w:w="6420" w:type="dxa"/>
            <w:tcBorders>
              <w:top w:val="single" w:color="auto" w:sz="4" w:space="0"/>
              <w:bottom w:val="single" w:color="auto" w:sz="4" w:space="0"/>
            </w:tcBorders>
            <w:shd w:val="clear" w:color="auto" w:fill="auto"/>
            <w:vAlign w:val="top"/>
          </w:tcPr>
          <w:p w14:paraId="2B75E90C">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《碳交易》是一门介绍碳交易机制、市场和策略的课程。本课程将帮助学生了解碳交易的基本原理和实践，为参与碳市场和制定碳管理策略做好准备。</w:t>
            </w:r>
          </w:p>
          <w:p w14:paraId="1B51D5B1">
            <w:pPr>
              <w:widowControl/>
              <w:ind w:firstLine="360" w:firstLineChars="200"/>
              <w:jc w:val="left"/>
              <w:rPr>
                <w:rFonts w:ascii="华文仿宋" w:hAnsi="华文仿宋" w:eastAsia="华文仿宋"/>
                <w:bCs/>
                <w:sz w:val="18"/>
                <w:szCs w:val="18"/>
              </w:rPr>
            </w:pPr>
            <w:r>
              <w:rPr>
                <w:rFonts w:hint="eastAsia" w:ascii="华文仿宋" w:hAnsi="华文仿宋" w:eastAsia="华文仿宋"/>
                <w:bCs/>
                <w:sz w:val="18"/>
                <w:szCs w:val="18"/>
              </w:rPr>
              <w:t>课程将涵盖全球气候变化背景下的碳交易发展历程，以及各国碳交易体系的构建和运行机制。学生将学习到如何进行碳排放权的确权、分配、交易和监管，以及如何制定有效的碳资产管理和风险控制策略。此外，课程还将探讨国内外碳市场的发展趋势和未来挑战，以及企业如何利用碳交易实现低碳转型和可持续发展。</w:t>
            </w:r>
          </w:p>
          <w:p w14:paraId="12FB07F5">
            <w:pPr>
              <w:widowControl/>
              <w:spacing w:after="156" w:afterLines="50"/>
              <w:ind w:firstLine="360" w:firstLineChars="200"/>
              <w:jc w:val="left"/>
              <w:rPr>
                <w:rFonts w:ascii="华文仿宋" w:hAnsi="华文仿宋" w:eastAsia="华文仿宋" w:cs="Times New Roman"/>
                <w:bCs/>
                <w:sz w:val="18"/>
                <w:szCs w:val="18"/>
                <w:lang w:val="en-US" w:eastAsia="zh-CN" w:bidi="ar-SA"/>
              </w:rPr>
            </w:pPr>
            <w:r>
              <w:rPr>
                <w:rFonts w:hint="eastAsia" w:ascii="华文仿宋" w:hAnsi="华文仿宋" w:eastAsia="华文仿宋"/>
                <w:bCs/>
                <w:sz w:val="18"/>
                <w:szCs w:val="18"/>
              </w:rPr>
              <w:t>本课程通过案例分析、角色扮演和小组讨论等形式，学生将培养批判性思维、创新能力和团队协作精神。本课程还将强调碳市场的数据透明度和安全性在碳交易中的重要性，并鼓励学生思考如何在实际工作中应用所学知识和技能。</w:t>
            </w:r>
          </w:p>
        </w:tc>
      </w:tr>
    </w:tbl>
    <w:p w14:paraId="0164EB06"/>
    <w:sectPr>
      <w:pgSz w:w="11906" w:h="16838"/>
      <w:pgMar w:top="1134" w:right="1418" w:bottom="1134" w:left="1418" w:header="85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32C2F6"/>
    <w:multiLevelType w:val="singleLevel"/>
    <w:tmpl w:val="A232C2F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4MTJmZmMzYzU1YjVmODNjM2FiMmYzNjRjZWZkOWUifQ=="/>
  </w:docVars>
  <w:rsids>
    <w:rsidRoot w:val="0AE32D0C"/>
    <w:rsid w:val="000703B8"/>
    <w:rsid w:val="002D1061"/>
    <w:rsid w:val="00372B72"/>
    <w:rsid w:val="004B5A3E"/>
    <w:rsid w:val="00D529C8"/>
    <w:rsid w:val="00F16F11"/>
    <w:rsid w:val="01946F13"/>
    <w:rsid w:val="09E034D1"/>
    <w:rsid w:val="0AE32D0C"/>
    <w:rsid w:val="0B6F0807"/>
    <w:rsid w:val="175A6EDF"/>
    <w:rsid w:val="1BB05AD7"/>
    <w:rsid w:val="1EEF22CE"/>
    <w:rsid w:val="1F7A2683"/>
    <w:rsid w:val="21032A4B"/>
    <w:rsid w:val="21BF3E1B"/>
    <w:rsid w:val="23A75A11"/>
    <w:rsid w:val="28256CD3"/>
    <w:rsid w:val="29B41E5E"/>
    <w:rsid w:val="348E61B2"/>
    <w:rsid w:val="35297D28"/>
    <w:rsid w:val="44140B30"/>
    <w:rsid w:val="463475E7"/>
    <w:rsid w:val="48420A18"/>
    <w:rsid w:val="4AF018C8"/>
    <w:rsid w:val="4E3E59EC"/>
    <w:rsid w:val="4EAF14BB"/>
    <w:rsid w:val="50C32C89"/>
    <w:rsid w:val="544467E1"/>
    <w:rsid w:val="550F5041"/>
    <w:rsid w:val="64873285"/>
    <w:rsid w:val="78BA0E0E"/>
    <w:rsid w:val="7E4902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3988</Words>
  <Characters>4259</Characters>
  <Lines>4</Lines>
  <Paragraphs>1</Paragraphs>
  <TotalTime>80</TotalTime>
  <ScaleCrop>false</ScaleCrop>
  <LinksUpToDate>false</LinksUpToDate>
  <CharactersWithSpaces>4292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2023-05-06T03:14:00Z</dcterms:created>
  <dc:creator>Shine_ZHOU</dc:creator>
  <cp:lastModifiedBy>Dell</cp:lastModifiedBy>
  <dcterms:modified xsi:type="dcterms:W3CDTF">2025-06-17T05:23:42Z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B93E1B29CEAB4E798DC7F44F178CD50F_13</vt:lpwstr>
  </property>
  <property fmtid="{D5CDD505-2E9C-101B-9397-08002B2CF9AE}" pid="4" name="KSOTemplateDocerSaveRecord">
    <vt:lpwstr>eyJoZGlkIjoiZTNiMmJjMGUyMDNhMGI0MjllZTc4OTE3ODRjOTBjMWQiLCJ1c2VySWQiOiIyMDc1ODY2MzgifQ==</vt:lpwstr>
  </property>
</Properties>
</file>