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575B3" w14:textId="77777777" w:rsidR="007642AC" w:rsidRDefault="00177333">
      <w:pPr>
        <w:spacing w:beforeLines="50" w:before="156" w:afterLines="50" w:after="156" w:line="480" w:lineRule="exact"/>
        <w:ind w:left="558" w:hangingChars="155" w:hanging="558"/>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bCs/>
          <w:sz w:val="36"/>
          <w:szCs w:val="36"/>
        </w:rPr>
        <w:t>劳动经济</w:t>
      </w:r>
      <w:r>
        <w:rPr>
          <w:rFonts w:ascii="方正小标宋简体" w:eastAsia="方正小标宋简体" w:hAnsi="方正小标宋简体" w:cs="方正小标宋简体" w:hint="eastAsia"/>
          <w:bCs/>
          <w:sz w:val="36"/>
          <w:szCs w:val="36"/>
        </w:rPr>
        <w:t>学院</w:t>
      </w:r>
      <w:r>
        <w:rPr>
          <w:rFonts w:ascii="方正小标宋简体" w:eastAsia="方正小标宋简体" w:hAnsi="方正小标宋简体" w:cs="方正小标宋简体" w:hint="eastAsia"/>
          <w:bCs/>
          <w:sz w:val="36"/>
          <w:szCs w:val="36"/>
        </w:rPr>
        <w:t>养老服务管理</w:t>
      </w:r>
      <w:r>
        <w:rPr>
          <w:rFonts w:ascii="方正小标宋简体" w:eastAsia="方正小标宋简体" w:hAnsi="方正小标宋简体" w:cs="方正小标宋简体" w:hint="eastAsia"/>
          <w:bCs/>
          <w:sz w:val="36"/>
          <w:szCs w:val="36"/>
        </w:rPr>
        <w:t>微专业人才培养方案</w:t>
      </w:r>
    </w:p>
    <w:p w14:paraId="25F482FB" w14:textId="77777777" w:rsidR="007642AC" w:rsidRDefault="00177333">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一、专业培养目标</w:t>
      </w:r>
    </w:p>
    <w:p w14:paraId="1A6A28D5" w14:textId="77777777" w:rsidR="007642AC" w:rsidRDefault="00177333">
      <w:pPr>
        <w:adjustRightInd w:val="0"/>
        <w:snapToGrid w:val="0"/>
        <w:spacing w:line="324" w:lineRule="auto"/>
        <w:ind w:firstLineChars="200" w:firstLine="480"/>
        <w:rPr>
          <w:rFonts w:eastAsiaTheme="minorEastAsia"/>
          <w:sz w:val="24"/>
        </w:rPr>
      </w:pPr>
      <w:r>
        <w:rPr>
          <w:rFonts w:eastAsiaTheme="minorEastAsia" w:hint="eastAsia"/>
          <w:sz w:val="24"/>
        </w:rPr>
        <w:t>养老服务管理专业</w:t>
      </w:r>
      <w:r>
        <w:rPr>
          <w:rFonts w:eastAsiaTheme="minorEastAsia" w:hint="eastAsia"/>
          <w:sz w:val="24"/>
        </w:rPr>
        <w:t>旨在适应我国养老服务事业发展需求，培养拥有管理学、医学、社会学等学科知识储备，熟练掌握养老机构经营管理、老年健康管理、老年照护等专业技能，融通中国传统文化习俗和现代爱老、敬老人文素养的应用复合型人才</w:t>
      </w:r>
      <w:r>
        <w:rPr>
          <w:rFonts w:eastAsiaTheme="minorEastAsia" w:hint="eastAsia"/>
          <w:sz w:val="24"/>
        </w:rPr>
        <w:t>。</w:t>
      </w:r>
      <w:r>
        <w:rPr>
          <w:rFonts w:eastAsiaTheme="minorEastAsia" w:hint="eastAsia"/>
          <w:sz w:val="24"/>
        </w:rPr>
        <w:t>毕业生</w:t>
      </w:r>
      <w:r>
        <w:rPr>
          <w:rFonts w:eastAsiaTheme="minorEastAsia" w:hint="eastAsia"/>
          <w:sz w:val="24"/>
        </w:rPr>
        <w:t>需</w:t>
      </w:r>
      <w:r>
        <w:rPr>
          <w:rFonts w:eastAsiaTheme="minorEastAsia" w:hint="eastAsia"/>
          <w:sz w:val="24"/>
        </w:rPr>
        <w:t>具备在养老服务相关企事业单位和社会组织特别是在医养结合养老机构，从事养老政策研究、行业规划、机构运营、服务资源调度、项目设计与品控等管理工作的能力。</w:t>
      </w:r>
    </w:p>
    <w:p w14:paraId="4512F21E" w14:textId="77777777" w:rsidR="007642AC" w:rsidRDefault="00177333">
      <w:pPr>
        <w:widowControl/>
        <w:spacing w:after="156" w:line="0" w:lineRule="atLeast"/>
        <w:ind w:firstLineChars="200" w:firstLine="560"/>
        <w:jc w:val="left"/>
        <w:rPr>
          <w:rFonts w:ascii="黑体" w:eastAsia="黑体" w:hAnsi="黑体" w:cs="黑体"/>
          <w:bCs/>
          <w:sz w:val="28"/>
          <w:szCs w:val="28"/>
        </w:rPr>
      </w:pPr>
      <w:r>
        <w:rPr>
          <w:rFonts w:ascii="黑体" w:eastAsia="黑体" w:hAnsi="黑体" w:cs="黑体" w:hint="eastAsia"/>
          <w:bCs/>
          <w:sz w:val="28"/>
          <w:szCs w:val="28"/>
        </w:rPr>
        <w:t>二、毕业要求</w:t>
      </w:r>
    </w:p>
    <w:p w14:paraId="494C85CA"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 xml:space="preserve">1. </w:t>
      </w:r>
      <w:r>
        <w:rPr>
          <w:rFonts w:eastAsiaTheme="minorEastAsia"/>
          <w:sz w:val="24"/>
        </w:rPr>
        <w:t>知识要求</w:t>
      </w:r>
    </w:p>
    <w:p w14:paraId="02FAE20A"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构建</w:t>
      </w:r>
      <w:r>
        <w:rPr>
          <w:rFonts w:eastAsiaTheme="minorEastAsia" w:hint="eastAsia"/>
          <w:sz w:val="24"/>
        </w:rPr>
        <w:t>“</w:t>
      </w:r>
      <w:r>
        <w:rPr>
          <w:rFonts w:eastAsiaTheme="minorEastAsia"/>
          <w:sz w:val="24"/>
        </w:rPr>
        <w:t>老龄理论</w:t>
      </w:r>
      <w:r>
        <w:rPr>
          <w:rFonts w:eastAsiaTheme="minorEastAsia"/>
          <w:sz w:val="24"/>
        </w:rPr>
        <w:t>+</w:t>
      </w:r>
      <w:r>
        <w:rPr>
          <w:rFonts w:eastAsiaTheme="minorEastAsia"/>
          <w:sz w:val="24"/>
        </w:rPr>
        <w:t>政策法规</w:t>
      </w:r>
      <w:r>
        <w:rPr>
          <w:rFonts w:eastAsiaTheme="minorEastAsia"/>
          <w:sz w:val="24"/>
        </w:rPr>
        <w:t>+</w:t>
      </w:r>
      <w:r>
        <w:rPr>
          <w:rFonts w:eastAsiaTheme="minorEastAsia"/>
          <w:sz w:val="24"/>
        </w:rPr>
        <w:t>数字技术</w:t>
      </w:r>
      <w:r>
        <w:rPr>
          <w:rFonts w:eastAsiaTheme="minorEastAsia"/>
          <w:sz w:val="24"/>
        </w:rPr>
        <w:t>+</w:t>
      </w:r>
      <w:r>
        <w:rPr>
          <w:rFonts w:eastAsiaTheme="minorEastAsia"/>
          <w:sz w:val="24"/>
        </w:rPr>
        <w:t>国际视野</w:t>
      </w:r>
      <w:r>
        <w:rPr>
          <w:rFonts w:eastAsiaTheme="minorEastAsia" w:hint="eastAsia"/>
          <w:sz w:val="24"/>
        </w:rPr>
        <w:t>”</w:t>
      </w:r>
      <w:r>
        <w:rPr>
          <w:rFonts w:eastAsiaTheme="minorEastAsia"/>
          <w:sz w:val="24"/>
        </w:rPr>
        <w:t>四位一体知识体系，贯通老年学、管理学、社会学、法学等多学科交叉知识，形成</w:t>
      </w:r>
      <w:r>
        <w:rPr>
          <w:rFonts w:eastAsiaTheme="minorEastAsia" w:hint="eastAsia"/>
          <w:sz w:val="24"/>
        </w:rPr>
        <w:t>“</w:t>
      </w:r>
      <w:r>
        <w:rPr>
          <w:rFonts w:eastAsiaTheme="minorEastAsia"/>
          <w:sz w:val="24"/>
        </w:rPr>
        <w:t>理论指导实践、技术赋能服务、国际经验本土化</w:t>
      </w:r>
      <w:r>
        <w:rPr>
          <w:rFonts w:eastAsiaTheme="minorEastAsia" w:hint="eastAsia"/>
          <w:sz w:val="24"/>
        </w:rPr>
        <w:t>”</w:t>
      </w:r>
      <w:r>
        <w:rPr>
          <w:rFonts w:eastAsiaTheme="minorEastAsia"/>
          <w:sz w:val="24"/>
        </w:rPr>
        <w:t>的动态知识网络。掌握老年生理与心理发展规律、养老服务需求评估方法、适老化环境设计标准；熟悉《老年人权益保障法》等政策法规及国际养老服务模式；</w:t>
      </w:r>
      <w:r>
        <w:rPr>
          <w:rFonts w:eastAsiaTheme="minorEastAsia" w:hint="eastAsia"/>
          <w:sz w:val="24"/>
        </w:rPr>
        <w:t>能够</w:t>
      </w:r>
      <w:r>
        <w:rPr>
          <w:rFonts w:eastAsiaTheme="minorEastAsia"/>
          <w:sz w:val="24"/>
        </w:rPr>
        <w:t>运用智慧养老平台与数据分</w:t>
      </w:r>
      <w:r>
        <w:rPr>
          <w:rFonts w:eastAsiaTheme="minorEastAsia"/>
          <w:sz w:val="24"/>
        </w:rPr>
        <w:t>析工具，具备外语能力以阅读国际前沿文献</w:t>
      </w:r>
      <w:r>
        <w:rPr>
          <w:rFonts w:eastAsiaTheme="minorEastAsia" w:hint="eastAsia"/>
          <w:sz w:val="24"/>
        </w:rPr>
        <w:t>等</w:t>
      </w:r>
      <w:r>
        <w:rPr>
          <w:rFonts w:eastAsiaTheme="minorEastAsia"/>
          <w:sz w:val="24"/>
        </w:rPr>
        <w:t>。</w:t>
      </w:r>
    </w:p>
    <w:p w14:paraId="4DEDBAD2"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 xml:space="preserve">2. </w:t>
      </w:r>
      <w:r>
        <w:rPr>
          <w:rFonts w:eastAsiaTheme="minorEastAsia"/>
          <w:sz w:val="24"/>
        </w:rPr>
        <w:t>能力要求</w:t>
      </w:r>
    </w:p>
    <w:p w14:paraId="0146B52F" w14:textId="77777777" w:rsidR="007642AC" w:rsidRDefault="00177333">
      <w:pPr>
        <w:adjustRightInd w:val="0"/>
        <w:snapToGrid w:val="0"/>
        <w:spacing w:line="324" w:lineRule="auto"/>
        <w:ind w:firstLineChars="200" w:firstLine="480"/>
        <w:rPr>
          <w:rFonts w:eastAsiaTheme="minorEastAsia"/>
          <w:sz w:val="24"/>
        </w:rPr>
      </w:pPr>
      <w:r>
        <w:rPr>
          <w:rFonts w:eastAsiaTheme="minorEastAsia" w:hint="eastAsia"/>
          <w:sz w:val="24"/>
        </w:rPr>
        <w:t>具备</w:t>
      </w:r>
      <w:r>
        <w:rPr>
          <w:rFonts w:eastAsiaTheme="minorEastAsia"/>
          <w:sz w:val="24"/>
        </w:rPr>
        <w:t>养老服务全链条实践能力，适应居家社区、机构、医养结合等多元场景需求，实现</w:t>
      </w:r>
      <w:r>
        <w:rPr>
          <w:rFonts w:eastAsiaTheme="minorEastAsia" w:hint="eastAsia"/>
          <w:sz w:val="24"/>
        </w:rPr>
        <w:t>“</w:t>
      </w:r>
      <w:r>
        <w:rPr>
          <w:rFonts w:eastAsiaTheme="minorEastAsia"/>
          <w:sz w:val="24"/>
        </w:rPr>
        <w:t>问题解决者</w:t>
      </w:r>
      <w:r>
        <w:rPr>
          <w:rFonts w:eastAsiaTheme="minorEastAsia" w:hint="eastAsia"/>
          <w:sz w:val="24"/>
        </w:rPr>
        <w:t>”</w:t>
      </w:r>
      <w:r>
        <w:rPr>
          <w:rFonts w:eastAsiaTheme="minorEastAsia"/>
          <w:sz w:val="24"/>
        </w:rPr>
        <w:t>与</w:t>
      </w:r>
      <w:r>
        <w:rPr>
          <w:rFonts w:eastAsiaTheme="minorEastAsia" w:hint="eastAsia"/>
          <w:sz w:val="24"/>
        </w:rPr>
        <w:t>“</w:t>
      </w:r>
      <w:r>
        <w:rPr>
          <w:rFonts w:eastAsiaTheme="minorEastAsia"/>
          <w:sz w:val="24"/>
        </w:rPr>
        <w:t>变革推动者</w:t>
      </w:r>
      <w:r>
        <w:rPr>
          <w:rFonts w:eastAsiaTheme="minorEastAsia" w:hint="eastAsia"/>
          <w:sz w:val="24"/>
        </w:rPr>
        <w:t>”</w:t>
      </w:r>
      <w:r>
        <w:rPr>
          <w:rFonts w:eastAsiaTheme="minorEastAsia"/>
          <w:sz w:val="24"/>
        </w:rPr>
        <w:t>双重角色。</w:t>
      </w:r>
    </w:p>
    <w:p w14:paraId="21BD5151"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自主学习能力</w:t>
      </w:r>
      <w:r>
        <w:rPr>
          <w:rFonts w:eastAsiaTheme="minorEastAsia" w:hint="eastAsia"/>
          <w:sz w:val="24"/>
        </w:rPr>
        <w:t>。</w:t>
      </w:r>
      <w:r>
        <w:rPr>
          <w:rFonts w:eastAsiaTheme="minorEastAsia"/>
          <w:sz w:val="24"/>
        </w:rPr>
        <w:t>通过案例分析、田野调查、政策模拟等方法，持续追踪养老服务前沿领域，动态更新知识体系</w:t>
      </w:r>
      <w:r>
        <w:rPr>
          <w:rFonts w:eastAsiaTheme="minorEastAsia" w:hint="eastAsia"/>
          <w:sz w:val="24"/>
        </w:rPr>
        <w:t>。</w:t>
      </w:r>
    </w:p>
    <w:p w14:paraId="51B6FEAF"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沟通协作能力</w:t>
      </w:r>
      <w:r>
        <w:rPr>
          <w:rFonts w:eastAsiaTheme="minorEastAsia" w:hint="eastAsia"/>
          <w:sz w:val="24"/>
        </w:rPr>
        <w:t>。</w:t>
      </w:r>
      <w:r>
        <w:rPr>
          <w:rFonts w:eastAsiaTheme="minorEastAsia"/>
          <w:sz w:val="24"/>
        </w:rPr>
        <w:t>精准对接老年人及家属需求，协同医护、社工、志愿者等多方主体，制定个性化服务方案，有效化解家庭赡养纠纷与服务投诉</w:t>
      </w:r>
      <w:r>
        <w:rPr>
          <w:rFonts w:eastAsiaTheme="minorEastAsia" w:hint="eastAsia"/>
          <w:sz w:val="24"/>
        </w:rPr>
        <w:t>。</w:t>
      </w:r>
    </w:p>
    <w:p w14:paraId="1090A4FF"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专业技术能力</w:t>
      </w:r>
      <w:r>
        <w:rPr>
          <w:rFonts w:eastAsiaTheme="minorEastAsia" w:hint="eastAsia"/>
          <w:sz w:val="24"/>
        </w:rPr>
        <w:t>。</w:t>
      </w:r>
      <w:r>
        <w:rPr>
          <w:rFonts w:eastAsiaTheme="minorEastAsia"/>
          <w:sz w:val="24"/>
        </w:rPr>
        <w:t>熟练运用统计分析软件进行服务需求预测与质量评估，设计居家社区养老服务包与机构运营方案</w:t>
      </w:r>
      <w:r>
        <w:rPr>
          <w:rFonts w:eastAsiaTheme="minorEastAsia" w:hint="eastAsia"/>
          <w:sz w:val="24"/>
        </w:rPr>
        <w:t>。</w:t>
      </w:r>
    </w:p>
    <w:p w14:paraId="40396957"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 xml:space="preserve">3. </w:t>
      </w:r>
      <w:r>
        <w:rPr>
          <w:rFonts w:eastAsiaTheme="minorEastAsia"/>
          <w:sz w:val="24"/>
        </w:rPr>
        <w:t>素质要求</w:t>
      </w:r>
    </w:p>
    <w:p w14:paraId="403CBDCD"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以</w:t>
      </w:r>
      <w:r>
        <w:rPr>
          <w:rFonts w:eastAsiaTheme="minorEastAsia" w:hint="eastAsia"/>
          <w:sz w:val="24"/>
        </w:rPr>
        <w:t>“</w:t>
      </w:r>
      <w:r>
        <w:rPr>
          <w:rFonts w:eastAsiaTheme="minorEastAsia"/>
          <w:sz w:val="24"/>
        </w:rPr>
        <w:t>敬老爱老、公平正义、职业韧性</w:t>
      </w:r>
      <w:r>
        <w:rPr>
          <w:rFonts w:eastAsiaTheme="minorEastAsia" w:hint="eastAsia"/>
          <w:sz w:val="24"/>
        </w:rPr>
        <w:t>”</w:t>
      </w:r>
      <w:r>
        <w:rPr>
          <w:rFonts w:eastAsiaTheme="minorEastAsia"/>
          <w:sz w:val="24"/>
        </w:rPr>
        <w:t>为内核，践行社会主义核心价值观，成为老龄化社会的服务者、伦理守护者与价值引领者。</w:t>
      </w:r>
    </w:p>
    <w:p w14:paraId="0C3168E0" w14:textId="77777777" w:rsidR="007642AC" w:rsidRDefault="00177333">
      <w:pPr>
        <w:adjustRightInd w:val="0"/>
        <w:snapToGrid w:val="0"/>
        <w:spacing w:line="324" w:lineRule="auto"/>
        <w:ind w:firstLineChars="200" w:firstLine="480"/>
        <w:rPr>
          <w:rFonts w:eastAsiaTheme="minorEastAsia"/>
          <w:sz w:val="24"/>
        </w:rPr>
      </w:pPr>
      <w:r>
        <w:rPr>
          <w:rFonts w:eastAsiaTheme="minorEastAsia"/>
          <w:sz w:val="24"/>
        </w:rPr>
        <w:t>政治素质</w:t>
      </w:r>
      <w:r>
        <w:rPr>
          <w:rFonts w:eastAsiaTheme="minorEastAsia" w:hint="eastAsia"/>
          <w:sz w:val="24"/>
        </w:rPr>
        <w:t>。</w:t>
      </w:r>
      <w:r>
        <w:rPr>
          <w:rFonts w:eastAsiaTheme="minorEastAsia"/>
          <w:sz w:val="24"/>
        </w:rPr>
        <w:t>贯彻积极老龄化国家战略，理解</w:t>
      </w:r>
      <w:r>
        <w:rPr>
          <w:rFonts w:eastAsiaTheme="minorEastAsia" w:hint="eastAsia"/>
          <w:sz w:val="24"/>
        </w:rPr>
        <w:t>“</w:t>
      </w:r>
      <w:r>
        <w:rPr>
          <w:rFonts w:eastAsiaTheme="minorEastAsia"/>
          <w:sz w:val="24"/>
        </w:rPr>
        <w:t>老有所养、老有所医、老有所为</w:t>
      </w:r>
      <w:r>
        <w:rPr>
          <w:rFonts w:eastAsiaTheme="minorEastAsia" w:hint="eastAsia"/>
          <w:sz w:val="24"/>
        </w:rPr>
        <w:t>”</w:t>
      </w:r>
      <w:r>
        <w:rPr>
          <w:rFonts w:eastAsiaTheme="minorEastAsia"/>
          <w:sz w:val="24"/>
        </w:rPr>
        <w:t>的政策内涵，推动城乡养老服务均衡发展；</w:t>
      </w:r>
    </w:p>
    <w:p w14:paraId="47AEB9C0" w14:textId="77777777" w:rsidR="007642AC" w:rsidRDefault="00177333">
      <w:pPr>
        <w:spacing w:beforeLines="50" w:before="156" w:afterLines="50" w:after="156" w:line="480" w:lineRule="exact"/>
        <w:ind w:firstLineChars="200" w:firstLine="560"/>
        <w:rPr>
          <w:rFonts w:ascii="宋体" w:hAnsi="宋体"/>
          <w:b/>
          <w:sz w:val="28"/>
          <w:szCs w:val="28"/>
        </w:rPr>
      </w:pPr>
      <w:r>
        <w:rPr>
          <w:rFonts w:ascii="黑体" w:eastAsia="黑体" w:hAnsi="黑体" w:cs="黑体" w:hint="eastAsia"/>
          <w:bCs/>
          <w:sz w:val="28"/>
          <w:szCs w:val="28"/>
        </w:rPr>
        <w:t>三、招生对象与条件</w:t>
      </w:r>
    </w:p>
    <w:p w14:paraId="70B3481D" w14:textId="77777777" w:rsidR="007642AC" w:rsidRDefault="00177333">
      <w:pPr>
        <w:adjustRightInd w:val="0"/>
        <w:snapToGrid w:val="0"/>
        <w:spacing w:line="324" w:lineRule="auto"/>
        <w:ind w:firstLineChars="200" w:firstLine="480"/>
        <w:rPr>
          <w:rFonts w:eastAsiaTheme="minorEastAsia"/>
          <w:sz w:val="24"/>
        </w:rPr>
      </w:pPr>
      <w:r>
        <w:rPr>
          <w:rFonts w:eastAsiaTheme="minorEastAsia" w:hint="eastAsia"/>
          <w:sz w:val="24"/>
        </w:rPr>
        <w:t>招生对象：</w:t>
      </w:r>
      <w:r>
        <w:rPr>
          <w:rFonts w:eastAsiaTheme="minorEastAsia" w:hint="eastAsia"/>
          <w:sz w:val="24"/>
        </w:rPr>
        <w:t>依托学校在经济学、管理学传统优势，重点吸引“管理学</w:t>
      </w:r>
      <w:r>
        <w:rPr>
          <w:rFonts w:eastAsiaTheme="minorEastAsia" w:hint="eastAsia"/>
          <w:sz w:val="24"/>
        </w:rPr>
        <w:t>/</w:t>
      </w:r>
      <w:r>
        <w:rPr>
          <w:rFonts w:eastAsiaTheme="minorEastAsia" w:hint="eastAsia"/>
          <w:sz w:val="24"/>
        </w:rPr>
        <w:t>经济学</w:t>
      </w:r>
      <w:r>
        <w:rPr>
          <w:rFonts w:eastAsiaTheme="minorEastAsia" w:hint="eastAsia"/>
          <w:sz w:val="24"/>
        </w:rPr>
        <w:t>+</w:t>
      </w:r>
      <w:r>
        <w:rPr>
          <w:rFonts w:eastAsiaTheme="minorEastAsia" w:hint="eastAsia"/>
          <w:sz w:val="24"/>
        </w:rPr>
        <w:t>养老”“医学</w:t>
      </w:r>
      <w:r>
        <w:rPr>
          <w:rFonts w:eastAsiaTheme="minorEastAsia" w:hint="eastAsia"/>
          <w:sz w:val="24"/>
        </w:rPr>
        <w:t>+</w:t>
      </w:r>
      <w:r>
        <w:rPr>
          <w:rFonts w:eastAsiaTheme="minorEastAsia" w:hint="eastAsia"/>
          <w:sz w:val="24"/>
        </w:rPr>
        <w:t>养老”“信息技术</w:t>
      </w:r>
      <w:r>
        <w:rPr>
          <w:rFonts w:eastAsiaTheme="minorEastAsia" w:hint="eastAsia"/>
          <w:sz w:val="24"/>
        </w:rPr>
        <w:t>+</w:t>
      </w:r>
      <w:r>
        <w:rPr>
          <w:rFonts w:eastAsiaTheme="minorEastAsia" w:hint="eastAsia"/>
          <w:sz w:val="24"/>
        </w:rPr>
        <w:t>养老”等跨学科背景学生，形成“主修专业赋能养老服务管理”的复</w:t>
      </w:r>
      <w:r>
        <w:rPr>
          <w:rFonts w:eastAsiaTheme="minorEastAsia" w:hint="eastAsia"/>
          <w:sz w:val="24"/>
        </w:rPr>
        <w:t>合型人才培养模式。</w:t>
      </w:r>
    </w:p>
    <w:p w14:paraId="17465721" w14:textId="77777777" w:rsidR="007642AC" w:rsidRDefault="00177333">
      <w:pPr>
        <w:adjustRightInd w:val="0"/>
        <w:snapToGrid w:val="0"/>
        <w:spacing w:line="324" w:lineRule="auto"/>
        <w:ind w:firstLineChars="200" w:firstLine="480"/>
        <w:rPr>
          <w:rFonts w:eastAsiaTheme="minorEastAsia"/>
          <w:sz w:val="24"/>
        </w:rPr>
      </w:pPr>
      <w:r>
        <w:rPr>
          <w:rFonts w:eastAsiaTheme="minorEastAsia" w:hint="eastAsia"/>
          <w:sz w:val="24"/>
        </w:rPr>
        <w:lastRenderedPageBreak/>
        <w:t>前置课程：管理学、西方经济学。</w:t>
      </w:r>
    </w:p>
    <w:p w14:paraId="7341DD4E" w14:textId="77777777" w:rsidR="007642AC" w:rsidRDefault="00177333">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四、学分与证书</w:t>
      </w:r>
    </w:p>
    <w:p w14:paraId="78B63E5C" w14:textId="77777777" w:rsidR="007642AC" w:rsidRDefault="00177333">
      <w:pPr>
        <w:adjustRightInd w:val="0"/>
        <w:snapToGrid w:val="0"/>
        <w:spacing w:line="324" w:lineRule="auto"/>
        <w:ind w:firstLineChars="200" w:firstLine="480"/>
        <w:rPr>
          <w:rFonts w:eastAsiaTheme="minorEastAsia"/>
          <w:sz w:val="24"/>
        </w:rPr>
      </w:pPr>
      <w:r>
        <w:rPr>
          <w:rFonts w:eastAsiaTheme="minorEastAsia" w:hint="eastAsia"/>
          <w:sz w:val="24"/>
        </w:rPr>
        <w:t>课程学习总学分为</w:t>
      </w:r>
      <w:r>
        <w:rPr>
          <w:rFonts w:eastAsiaTheme="minorEastAsia" w:hint="eastAsia"/>
          <w:sz w:val="24"/>
        </w:rPr>
        <w:t>20</w:t>
      </w:r>
      <w:r>
        <w:rPr>
          <w:rFonts w:eastAsiaTheme="minorEastAsia" w:hint="eastAsia"/>
          <w:sz w:val="24"/>
        </w:rPr>
        <w:t>学分，均为必修课。根据课程的性质与特点，教学采用多种形式进行，以课堂系统讲授或专题讲授为主，同时结合课外阅读、课堂讨论等，旨在培养学生的综合素质和创新能力。每门课程结束后，将进行课程考试，考试形式灵活多样，可采取笔试（闭卷或开卷）、口试或课程论文等形式。</w:t>
      </w:r>
    </w:p>
    <w:p w14:paraId="1E471E66" w14:textId="77777777" w:rsidR="007642AC" w:rsidRDefault="00177333">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五、课程设置</w:t>
      </w:r>
    </w:p>
    <w:p w14:paraId="2965E9F3" w14:textId="77777777" w:rsidR="007642AC" w:rsidRDefault="00177333">
      <w:pPr>
        <w:widowControl/>
        <w:spacing w:after="156" w:line="0" w:lineRule="atLeast"/>
        <w:jc w:val="center"/>
        <w:rPr>
          <w:rFonts w:ascii="黑体" w:eastAsia="黑体" w:hAnsi="黑体" w:cs="黑体"/>
          <w:bCs/>
          <w:sz w:val="28"/>
          <w:szCs w:val="28"/>
        </w:rPr>
      </w:pPr>
      <w:r>
        <w:rPr>
          <w:rFonts w:ascii="黑体" w:eastAsia="黑体" w:hAnsi="黑体" w:cs="黑体" w:hint="eastAsia"/>
          <w:bCs/>
          <w:sz w:val="28"/>
          <w:szCs w:val="28"/>
        </w:rPr>
        <w:t>养老服务管理</w:t>
      </w:r>
      <w:r>
        <w:rPr>
          <w:rFonts w:ascii="黑体" w:eastAsia="黑体" w:hAnsi="黑体" w:cs="黑体" w:hint="eastAsia"/>
          <w:bCs/>
          <w:sz w:val="28"/>
          <w:szCs w:val="28"/>
        </w:rPr>
        <w:t>微专业课程设置及教学进程计划表</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1145"/>
        <w:gridCol w:w="641"/>
        <w:gridCol w:w="764"/>
        <w:gridCol w:w="791"/>
        <w:gridCol w:w="736"/>
        <w:gridCol w:w="723"/>
        <w:gridCol w:w="730"/>
        <w:gridCol w:w="780"/>
        <w:gridCol w:w="1230"/>
        <w:gridCol w:w="716"/>
      </w:tblGrid>
      <w:tr w:rsidR="007642AC" w14:paraId="3D9F89AB" w14:textId="77777777">
        <w:trPr>
          <w:trHeight w:val="454"/>
          <w:jc w:val="center"/>
        </w:trPr>
        <w:tc>
          <w:tcPr>
            <w:tcW w:w="1750" w:type="dxa"/>
            <w:vMerge w:val="restart"/>
            <w:tcBorders>
              <w:bottom w:val="single" w:sz="4" w:space="0" w:color="auto"/>
            </w:tcBorders>
            <w:vAlign w:val="center"/>
          </w:tcPr>
          <w:p w14:paraId="0DA59F8C" w14:textId="77777777" w:rsidR="007642AC" w:rsidRDefault="00177333">
            <w:pPr>
              <w:widowControl/>
              <w:jc w:val="center"/>
              <w:rPr>
                <w:rFonts w:ascii="黑体" w:eastAsia="黑体" w:hAnsi="黑体"/>
                <w:bCs/>
                <w:spacing w:val="20"/>
                <w:sz w:val="18"/>
                <w:szCs w:val="18"/>
              </w:rPr>
            </w:pPr>
            <w:r>
              <w:rPr>
                <w:rFonts w:ascii="黑体" w:eastAsia="黑体" w:hAnsi="黑体" w:hint="eastAsia"/>
                <w:bCs/>
                <w:sz w:val="18"/>
                <w:szCs w:val="18"/>
              </w:rPr>
              <w:t>课程名称</w:t>
            </w:r>
          </w:p>
        </w:tc>
        <w:tc>
          <w:tcPr>
            <w:tcW w:w="1145" w:type="dxa"/>
            <w:vMerge w:val="restart"/>
            <w:vAlign w:val="center"/>
          </w:tcPr>
          <w:p w14:paraId="05104F61"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课程代码</w:t>
            </w:r>
          </w:p>
        </w:tc>
        <w:tc>
          <w:tcPr>
            <w:tcW w:w="641" w:type="dxa"/>
            <w:vMerge w:val="restart"/>
            <w:tcBorders>
              <w:bottom w:val="single" w:sz="4" w:space="0" w:color="auto"/>
            </w:tcBorders>
            <w:vAlign w:val="center"/>
          </w:tcPr>
          <w:p w14:paraId="19EFE0D6" w14:textId="77777777" w:rsidR="007642AC" w:rsidRDefault="00177333">
            <w:pPr>
              <w:widowControl/>
              <w:jc w:val="center"/>
              <w:rPr>
                <w:rFonts w:ascii="黑体" w:eastAsia="黑体" w:hAnsi="黑体"/>
                <w:bCs/>
                <w:spacing w:val="20"/>
                <w:sz w:val="18"/>
                <w:szCs w:val="18"/>
              </w:rPr>
            </w:pPr>
            <w:r>
              <w:rPr>
                <w:rFonts w:ascii="黑体" w:eastAsia="黑体" w:hAnsi="黑体" w:hint="eastAsia"/>
                <w:bCs/>
                <w:sz w:val="18"/>
                <w:szCs w:val="18"/>
              </w:rPr>
              <w:t>学分</w:t>
            </w:r>
          </w:p>
        </w:tc>
        <w:tc>
          <w:tcPr>
            <w:tcW w:w="764" w:type="dxa"/>
            <w:vMerge w:val="restart"/>
            <w:vAlign w:val="center"/>
          </w:tcPr>
          <w:p w14:paraId="7B6B79F3" w14:textId="77777777" w:rsidR="007642AC" w:rsidRDefault="00177333">
            <w:pPr>
              <w:widowControl/>
              <w:jc w:val="center"/>
              <w:rPr>
                <w:rFonts w:ascii="黑体" w:eastAsia="黑体" w:hAnsi="黑体"/>
                <w:bCs/>
                <w:sz w:val="18"/>
                <w:szCs w:val="18"/>
              </w:rPr>
            </w:pPr>
            <w:r>
              <w:rPr>
                <w:rFonts w:ascii="黑体" w:eastAsia="黑体" w:hAnsi="黑体"/>
                <w:bCs/>
                <w:sz w:val="18"/>
              </w:rPr>
              <w:t>总学时</w:t>
            </w:r>
          </w:p>
        </w:tc>
        <w:tc>
          <w:tcPr>
            <w:tcW w:w="2980" w:type="dxa"/>
            <w:gridSpan w:val="4"/>
            <w:tcBorders>
              <w:bottom w:val="single" w:sz="4" w:space="0" w:color="auto"/>
            </w:tcBorders>
            <w:vAlign w:val="center"/>
          </w:tcPr>
          <w:p w14:paraId="5C045DBA" w14:textId="77777777" w:rsidR="007642AC" w:rsidRDefault="00177333">
            <w:pPr>
              <w:widowControl/>
              <w:jc w:val="center"/>
              <w:rPr>
                <w:rFonts w:ascii="黑体" w:eastAsia="黑体" w:hAnsi="黑体"/>
                <w:bCs/>
                <w:spacing w:val="20"/>
                <w:sz w:val="18"/>
                <w:szCs w:val="18"/>
              </w:rPr>
            </w:pPr>
            <w:r>
              <w:rPr>
                <w:rFonts w:ascii="黑体" w:eastAsia="黑体" w:hAnsi="黑体"/>
                <w:bCs/>
                <w:spacing w:val="75"/>
                <w:sz w:val="18"/>
                <w:szCs w:val="18"/>
                <w:fitText w:val="840" w:id="1307199743"/>
              </w:rPr>
              <w:t>学时</w:t>
            </w:r>
            <w:r>
              <w:rPr>
                <w:rFonts w:ascii="黑体" w:eastAsia="黑体" w:hAnsi="黑体" w:hint="eastAsia"/>
                <w:bCs/>
                <w:sz w:val="18"/>
                <w:szCs w:val="18"/>
                <w:fitText w:val="840" w:id="1307199743"/>
              </w:rPr>
              <w:t>分</w:t>
            </w:r>
            <w:r>
              <w:rPr>
                <w:rFonts w:ascii="黑体" w:eastAsia="黑体" w:hAnsi="黑体" w:hint="eastAsia"/>
                <w:bCs/>
                <w:sz w:val="18"/>
                <w:szCs w:val="18"/>
              </w:rPr>
              <w:t xml:space="preserve"> </w:t>
            </w:r>
            <w:r>
              <w:rPr>
                <w:rFonts w:ascii="黑体" w:eastAsia="黑体" w:hAnsi="黑体" w:hint="eastAsia"/>
                <w:bCs/>
                <w:sz w:val="18"/>
                <w:szCs w:val="18"/>
              </w:rPr>
              <w:t>配</w:t>
            </w:r>
          </w:p>
        </w:tc>
        <w:tc>
          <w:tcPr>
            <w:tcW w:w="780" w:type="dxa"/>
            <w:vMerge w:val="restart"/>
            <w:tcBorders>
              <w:bottom w:val="single" w:sz="4" w:space="0" w:color="auto"/>
            </w:tcBorders>
            <w:vAlign w:val="center"/>
          </w:tcPr>
          <w:p w14:paraId="634E45DA" w14:textId="77777777" w:rsidR="007642AC" w:rsidRDefault="00177333">
            <w:pPr>
              <w:widowControl/>
              <w:snapToGrid w:val="0"/>
              <w:jc w:val="center"/>
              <w:rPr>
                <w:rFonts w:ascii="黑体" w:eastAsia="黑体" w:hAnsi="黑体"/>
                <w:bCs/>
                <w:sz w:val="18"/>
                <w:szCs w:val="18"/>
              </w:rPr>
            </w:pPr>
            <w:r>
              <w:rPr>
                <w:rFonts w:ascii="黑体" w:eastAsia="黑体" w:hAnsi="黑体" w:hint="eastAsia"/>
                <w:bCs/>
                <w:sz w:val="18"/>
                <w:szCs w:val="18"/>
              </w:rPr>
              <w:t>考核</w:t>
            </w:r>
          </w:p>
          <w:p w14:paraId="132890B3" w14:textId="77777777" w:rsidR="007642AC" w:rsidRDefault="00177333">
            <w:pPr>
              <w:widowControl/>
              <w:jc w:val="center"/>
              <w:rPr>
                <w:rFonts w:ascii="黑体" w:eastAsia="黑体" w:hAnsi="黑体"/>
                <w:bCs/>
                <w:spacing w:val="20"/>
                <w:sz w:val="18"/>
                <w:szCs w:val="18"/>
              </w:rPr>
            </w:pPr>
            <w:r>
              <w:rPr>
                <w:rFonts w:ascii="黑体" w:eastAsia="黑体" w:hAnsi="黑体" w:hint="eastAsia"/>
                <w:bCs/>
                <w:sz w:val="18"/>
                <w:szCs w:val="18"/>
              </w:rPr>
              <w:t>方式</w:t>
            </w:r>
          </w:p>
        </w:tc>
        <w:tc>
          <w:tcPr>
            <w:tcW w:w="1230" w:type="dxa"/>
            <w:vMerge w:val="restart"/>
            <w:tcBorders>
              <w:bottom w:val="single" w:sz="4" w:space="0" w:color="auto"/>
            </w:tcBorders>
            <w:vAlign w:val="center"/>
          </w:tcPr>
          <w:p w14:paraId="4E0C419E" w14:textId="77777777" w:rsidR="007642AC" w:rsidRDefault="00177333">
            <w:pPr>
              <w:widowControl/>
              <w:jc w:val="center"/>
              <w:rPr>
                <w:rFonts w:ascii="黑体" w:eastAsia="黑体" w:hAnsi="黑体"/>
                <w:bCs/>
                <w:spacing w:val="20"/>
                <w:sz w:val="18"/>
                <w:szCs w:val="18"/>
              </w:rPr>
            </w:pPr>
            <w:r>
              <w:rPr>
                <w:rFonts w:ascii="黑体" w:eastAsia="黑体" w:hAnsi="黑体" w:hint="eastAsia"/>
                <w:bCs/>
                <w:spacing w:val="20"/>
                <w:sz w:val="18"/>
                <w:szCs w:val="18"/>
              </w:rPr>
              <w:t>开课单位</w:t>
            </w:r>
          </w:p>
        </w:tc>
        <w:tc>
          <w:tcPr>
            <w:tcW w:w="716" w:type="dxa"/>
            <w:vMerge w:val="restart"/>
            <w:tcBorders>
              <w:bottom w:val="single" w:sz="4" w:space="0" w:color="auto"/>
            </w:tcBorders>
            <w:vAlign w:val="center"/>
          </w:tcPr>
          <w:p w14:paraId="165981C4" w14:textId="77777777" w:rsidR="007642AC" w:rsidRDefault="00177333">
            <w:pPr>
              <w:widowControl/>
              <w:snapToGrid w:val="0"/>
              <w:jc w:val="center"/>
              <w:rPr>
                <w:rFonts w:ascii="黑体" w:eastAsia="黑体" w:hAnsi="黑体"/>
                <w:bCs/>
                <w:sz w:val="18"/>
                <w:szCs w:val="18"/>
              </w:rPr>
            </w:pPr>
            <w:r>
              <w:rPr>
                <w:rFonts w:ascii="黑体" w:eastAsia="黑体" w:hAnsi="黑体"/>
                <w:bCs/>
                <w:sz w:val="18"/>
                <w:szCs w:val="18"/>
              </w:rPr>
              <w:t>开课</w:t>
            </w:r>
          </w:p>
          <w:p w14:paraId="1B4BBCF2" w14:textId="77777777" w:rsidR="007642AC" w:rsidRDefault="00177333">
            <w:pPr>
              <w:widowControl/>
              <w:jc w:val="center"/>
              <w:rPr>
                <w:rFonts w:ascii="黑体" w:eastAsia="黑体" w:hAnsi="黑体"/>
                <w:bCs/>
                <w:spacing w:val="20"/>
                <w:sz w:val="18"/>
                <w:szCs w:val="18"/>
              </w:rPr>
            </w:pPr>
            <w:r>
              <w:rPr>
                <w:rFonts w:ascii="黑体" w:eastAsia="黑体" w:hAnsi="黑体" w:hint="eastAsia"/>
                <w:bCs/>
                <w:sz w:val="18"/>
                <w:szCs w:val="18"/>
              </w:rPr>
              <w:t>时间</w:t>
            </w:r>
          </w:p>
        </w:tc>
      </w:tr>
      <w:tr w:rsidR="007642AC" w14:paraId="12FA3CF8" w14:textId="77777777">
        <w:trPr>
          <w:trHeight w:val="90"/>
          <w:jc w:val="center"/>
        </w:trPr>
        <w:tc>
          <w:tcPr>
            <w:tcW w:w="1750" w:type="dxa"/>
            <w:vMerge/>
            <w:vAlign w:val="center"/>
          </w:tcPr>
          <w:p w14:paraId="6D26BDCB" w14:textId="77777777" w:rsidR="007642AC" w:rsidRDefault="007642AC">
            <w:pPr>
              <w:widowControl/>
              <w:jc w:val="center"/>
              <w:rPr>
                <w:rFonts w:ascii="仿宋" w:eastAsia="仿宋" w:hAnsi="仿宋"/>
                <w:b/>
                <w:spacing w:val="20"/>
                <w:sz w:val="21"/>
                <w:szCs w:val="21"/>
              </w:rPr>
            </w:pPr>
          </w:p>
        </w:tc>
        <w:tc>
          <w:tcPr>
            <w:tcW w:w="1145" w:type="dxa"/>
            <w:vMerge/>
            <w:vAlign w:val="center"/>
          </w:tcPr>
          <w:p w14:paraId="45C06872" w14:textId="77777777" w:rsidR="007642AC" w:rsidRDefault="007642AC">
            <w:pPr>
              <w:widowControl/>
              <w:jc w:val="center"/>
              <w:rPr>
                <w:rFonts w:ascii="仿宋" w:eastAsia="仿宋" w:hAnsi="仿宋"/>
                <w:b/>
                <w:spacing w:val="20"/>
                <w:sz w:val="21"/>
                <w:szCs w:val="21"/>
              </w:rPr>
            </w:pPr>
          </w:p>
        </w:tc>
        <w:tc>
          <w:tcPr>
            <w:tcW w:w="641" w:type="dxa"/>
            <w:vMerge/>
            <w:vAlign w:val="center"/>
          </w:tcPr>
          <w:p w14:paraId="5599CE97" w14:textId="77777777" w:rsidR="007642AC" w:rsidRDefault="007642AC">
            <w:pPr>
              <w:widowControl/>
              <w:jc w:val="center"/>
              <w:rPr>
                <w:rFonts w:ascii="仿宋" w:eastAsia="仿宋" w:hAnsi="仿宋"/>
                <w:b/>
                <w:spacing w:val="20"/>
                <w:sz w:val="21"/>
                <w:szCs w:val="21"/>
              </w:rPr>
            </w:pPr>
          </w:p>
        </w:tc>
        <w:tc>
          <w:tcPr>
            <w:tcW w:w="764" w:type="dxa"/>
            <w:vMerge/>
            <w:vAlign w:val="center"/>
          </w:tcPr>
          <w:p w14:paraId="553F90F6" w14:textId="77777777" w:rsidR="007642AC" w:rsidRDefault="007642AC">
            <w:pPr>
              <w:widowControl/>
              <w:jc w:val="center"/>
              <w:rPr>
                <w:rFonts w:ascii="仿宋" w:eastAsia="仿宋" w:hAnsi="仿宋"/>
                <w:b/>
                <w:spacing w:val="20"/>
                <w:sz w:val="21"/>
                <w:szCs w:val="21"/>
              </w:rPr>
            </w:pPr>
          </w:p>
        </w:tc>
        <w:tc>
          <w:tcPr>
            <w:tcW w:w="791" w:type="dxa"/>
            <w:vAlign w:val="center"/>
          </w:tcPr>
          <w:p w14:paraId="4BFF10FE" w14:textId="77777777" w:rsidR="007642AC" w:rsidRDefault="00177333">
            <w:pPr>
              <w:widowControl/>
              <w:jc w:val="center"/>
              <w:rPr>
                <w:rFonts w:ascii="黑体" w:eastAsia="黑体" w:hAnsi="黑体"/>
                <w:bCs/>
                <w:spacing w:val="20"/>
                <w:sz w:val="21"/>
                <w:szCs w:val="21"/>
              </w:rPr>
            </w:pPr>
            <w:r>
              <w:rPr>
                <w:rFonts w:ascii="黑体" w:eastAsia="黑体" w:hAnsi="黑体" w:hint="eastAsia"/>
                <w:bCs/>
                <w:sz w:val="18"/>
              </w:rPr>
              <w:t>理论</w:t>
            </w:r>
          </w:p>
        </w:tc>
        <w:tc>
          <w:tcPr>
            <w:tcW w:w="736" w:type="dxa"/>
            <w:vAlign w:val="center"/>
          </w:tcPr>
          <w:p w14:paraId="28521E45" w14:textId="77777777" w:rsidR="007642AC" w:rsidRDefault="00177333">
            <w:pPr>
              <w:widowControl/>
              <w:jc w:val="center"/>
              <w:rPr>
                <w:rFonts w:ascii="黑体" w:eastAsia="黑体" w:hAnsi="黑体"/>
                <w:bCs/>
                <w:spacing w:val="20"/>
                <w:sz w:val="21"/>
                <w:szCs w:val="21"/>
              </w:rPr>
            </w:pPr>
            <w:r>
              <w:rPr>
                <w:rFonts w:ascii="黑体" w:eastAsia="黑体" w:hAnsi="黑体" w:hint="eastAsia"/>
                <w:bCs/>
                <w:sz w:val="18"/>
              </w:rPr>
              <w:t>实践</w:t>
            </w:r>
          </w:p>
        </w:tc>
        <w:tc>
          <w:tcPr>
            <w:tcW w:w="723" w:type="dxa"/>
            <w:vAlign w:val="center"/>
          </w:tcPr>
          <w:p w14:paraId="388D675C" w14:textId="77777777" w:rsidR="007642AC" w:rsidRDefault="00177333">
            <w:pPr>
              <w:widowControl/>
              <w:jc w:val="center"/>
              <w:rPr>
                <w:rFonts w:ascii="黑体" w:eastAsia="黑体" w:hAnsi="黑体"/>
                <w:bCs/>
                <w:spacing w:val="20"/>
                <w:sz w:val="21"/>
                <w:szCs w:val="21"/>
              </w:rPr>
            </w:pPr>
            <w:r>
              <w:rPr>
                <w:rFonts w:ascii="黑体" w:eastAsia="黑体" w:hAnsi="黑体" w:hint="eastAsia"/>
                <w:bCs/>
                <w:sz w:val="18"/>
                <w:szCs w:val="18"/>
              </w:rPr>
              <w:t>线上学时</w:t>
            </w:r>
          </w:p>
        </w:tc>
        <w:tc>
          <w:tcPr>
            <w:tcW w:w="730" w:type="dxa"/>
            <w:vAlign w:val="center"/>
          </w:tcPr>
          <w:p w14:paraId="1948E9E7" w14:textId="77777777" w:rsidR="007642AC" w:rsidRDefault="00177333">
            <w:pPr>
              <w:widowControl/>
              <w:jc w:val="center"/>
              <w:rPr>
                <w:rFonts w:ascii="仿宋" w:eastAsia="仿宋" w:hAnsi="仿宋"/>
                <w:b/>
                <w:spacing w:val="20"/>
                <w:sz w:val="21"/>
                <w:szCs w:val="21"/>
              </w:rPr>
            </w:pPr>
            <w:r>
              <w:rPr>
                <w:rFonts w:ascii="黑体" w:eastAsia="黑体" w:hAnsi="黑体" w:hint="eastAsia"/>
                <w:bCs/>
                <w:sz w:val="18"/>
                <w:szCs w:val="18"/>
              </w:rPr>
              <w:t>线下学时</w:t>
            </w:r>
          </w:p>
        </w:tc>
        <w:tc>
          <w:tcPr>
            <w:tcW w:w="780" w:type="dxa"/>
            <w:vMerge/>
            <w:vAlign w:val="center"/>
          </w:tcPr>
          <w:p w14:paraId="150E0F6B" w14:textId="77777777" w:rsidR="007642AC" w:rsidRDefault="007642AC">
            <w:pPr>
              <w:widowControl/>
              <w:jc w:val="center"/>
              <w:rPr>
                <w:rFonts w:ascii="仿宋" w:eastAsia="仿宋" w:hAnsi="仿宋"/>
                <w:b/>
                <w:spacing w:val="20"/>
                <w:sz w:val="21"/>
                <w:szCs w:val="21"/>
              </w:rPr>
            </w:pPr>
          </w:p>
        </w:tc>
        <w:tc>
          <w:tcPr>
            <w:tcW w:w="1230" w:type="dxa"/>
            <w:vMerge/>
            <w:vAlign w:val="center"/>
          </w:tcPr>
          <w:p w14:paraId="29E74DF2" w14:textId="77777777" w:rsidR="007642AC" w:rsidRDefault="007642AC">
            <w:pPr>
              <w:widowControl/>
              <w:jc w:val="center"/>
              <w:rPr>
                <w:rFonts w:ascii="仿宋" w:eastAsia="仿宋" w:hAnsi="仿宋"/>
                <w:b/>
                <w:spacing w:val="20"/>
                <w:sz w:val="21"/>
                <w:szCs w:val="21"/>
              </w:rPr>
            </w:pPr>
          </w:p>
        </w:tc>
        <w:tc>
          <w:tcPr>
            <w:tcW w:w="716" w:type="dxa"/>
            <w:vMerge/>
            <w:vAlign w:val="center"/>
          </w:tcPr>
          <w:p w14:paraId="6E4C5F09" w14:textId="77777777" w:rsidR="007642AC" w:rsidRDefault="007642AC">
            <w:pPr>
              <w:widowControl/>
              <w:jc w:val="center"/>
              <w:rPr>
                <w:rFonts w:ascii="仿宋" w:eastAsia="仿宋" w:hAnsi="仿宋"/>
                <w:b/>
                <w:spacing w:val="20"/>
                <w:sz w:val="21"/>
                <w:szCs w:val="21"/>
              </w:rPr>
            </w:pPr>
          </w:p>
        </w:tc>
      </w:tr>
      <w:tr w:rsidR="007642AC" w14:paraId="50704AF8" w14:textId="77777777">
        <w:trPr>
          <w:trHeight w:val="454"/>
          <w:jc w:val="center"/>
        </w:trPr>
        <w:tc>
          <w:tcPr>
            <w:tcW w:w="1750" w:type="dxa"/>
            <w:vAlign w:val="center"/>
          </w:tcPr>
          <w:p w14:paraId="5FFC87C5" w14:textId="77777777" w:rsidR="007642AC" w:rsidRDefault="00177333">
            <w:pPr>
              <w:widowControl/>
              <w:jc w:val="center"/>
              <w:rPr>
                <w:sz w:val="21"/>
              </w:rPr>
            </w:pPr>
            <w:r>
              <w:rPr>
                <w:rFonts w:hint="eastAsia"/>
                <w:sz w:val="21"/>
              </w:rPr>
              <w:t>社会保障学</w:t>
            </w:r>
          </w:p>
        </w:tc>
        <w:tc>
          <w:tcPr>
            <w:tcW w:w="1145" w:type="dxa"/>
            <w:vAlign w:val="center"/>
          </w:tcPr>
          <w:p w14:paraId="245E0D45" w14:textId="5C2224B6" w:rsidR="007642AC" w:rsidRDefault="007642AC">
            <w:pPr>
              <w:widowControl/>
              <w:jc w:val="center"/>
              <w:rPr>
                <w:rFonts w:ascii="仿宋" w:eastAsia="仿宋" w:hAnsi="仿宋"/>
                <w:b/>
                <w:spacing w:val="20"/>
                <w:sz w:val="18"/>
                <w:szCs w:val="18"/>
              </w:rPr>
            </w:pPr>
          </w:p>
        </w:tc>
        <w:tc>
          <w:tcPr>
            <w:tcW w:w="641" w:type="dxa"/>
            <w:vAlign w:val="center"/>
          </w:tcPr>
          <w:p w14:paraId="02520DB4"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1032C873"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18D62B63"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383FBE47"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4C8435D4" w14:textId="77777777" w:rsidR="007642AC" w:rsidRDefault="007642AC">
            <w:pPr>
              <w:widowControl/>
              <w:jc w:val="center"/>
              <w:rPr>
                <w:rFonts w:ascii="仿宋" w:eastAsia="仿宋" w:hAnsi="仿宋"/>
                <w:b/>
                <w:spacing w:val="20"/>
                <w:sz w:val="18"/>
                <w:szCs w:val="18"/>
              </w:rPr>
            </w:pPr>
          </w:p>
        </w:tc>
        <w:tc>
          <w:tcPr>
            <w:tcW w:w="730" w:type="dxa"/>
            <w:vAlign w:val="center"/>
          </w:tcPr>
          <w:p w14:paraId="5F3F457B" w14:textId="77777777" w:rsidR="007642AC" w:rsidRDefault="007642AC">
            <w:pPr>
              <w:widowControl/>
              <w:jc w:val="center"/>
              <w:rPr>
                <w:rFonts w:ascii="仿宋" w:eastAsia="仿宋" w:hAnsi="仿宋"/>
                <w:b/>
                <w:spacing w:val="20"/>
                <w:sz w:val="18"/>
                <w:szCs w:val="18"/>
              </w:rPr>
            </w:pPr>
          </w:p>
        </w:tc>
        <w:tc>
          <w:tcPr>
            <w:tcW w:w="780" w:type="dxa"/>
            <w:vAlign w:val="center"/>
          </w:tcPr>
          <w:p w14:paraId="532B275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33CADAF3"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149482D0"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1-1</w:t>
            </w:r>
          </w:p>
        </w:tc>
      </w:tr>
      <w:tr w:rsidR="007642AC" w14:paraId="67F6AF34" w14:textId="77777777">
        <w:trPr>
          <w:trHeight w:val="454"/>
          <w:jc w:val="center"/>
        </w:trPr>
        <w:tc>
          <w:tcPr>
            <w:tcW w:w="1750" w:type="dxa"/>
            <w:vAlign w:val="center"/>
          </w:tcPr>
          <w:p w14:paraId="7B37CA84" w14:textId="77777777" w:rsidR="007642AC" w:rsidRDefault="00177333">
            <w:pPr>
              <w:widowControl/>
              <w:jc w:val="center"/>
              <w:rPr>
                <w:sz w:val="21"/>
              </w:rPr>
            </w:pPr>
            <w:r>
              <w:rPr>
                <w:rFonts w:hint="eastAsia"/>
                <w:sz w:val="21"/>
              </w:rPr>
              <w:t>人力资源管理</w:t>
            </w:r>
          </w:p>
        </w:tc>
        <w:tc>
          <w:tcPr>
            <w:tcW w:w="1145" w:type="dxa"/>
            <w:vAlign w:val="center"/>
          </w:tcPr>
          <w:p w14:paraId="72A4B785" w14:textId="77777777" w:rsidR="007642AC" w:rsidRDefault="007642AC">
            <w:pPr>
              <w:widowControl/>
              <w:jc w:val="center"/>
              <w:rPr>
                <w:rFonts w:ascii="仿宋" w:eastAsia="仿宋" w:hAnsi="仿宋"/>
                <w:b/>
                <w:spacing w:val="20"/>
                <w:sz w:val="18"/>
                <w:szCs w:val="18"/>
              </w:rPr>
            </w:pPr>
          </w:p>
        </w:tc>
        <w:tc>
          <w:tcPr>
            <w:tcW w:w="641" w:type="dxa"/>
            <w:vAlign w:val="center"/>
          </w:tcPr>
          <w:p w14:paraId="3E25DC52"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50307CC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3F18C12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02918BE3"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60141282" w14:textId="77777777" w:rsidR="007642AC" w:rsidRDefault="007642AC">
            <w:pPr>
              <w:widowControl/>
              <w:jc w:val="center"/>
              <w:rPr>
                <w:rFonts w:ascii="仿宋" w:eastAsia="仿宋" w:hAnsi="仿宋"/>
                <w:b/>
                <w:spacing w:val="20"/>
                <w:sz w:val="18"/>
                <w:szCs w:val="18"/>
              </w:rPr>
            </w:pPr>
          </w:p>
        </w:tc>
        <w:tc>
          <w:tcPr>
            <w:tcW w:w="730" w:type="dxa"/>
            <w:vAlign w:val="center"/>
          </w:tcPr>
          <w:p w14:paraId="1180CFAE" w14:textId="77777777" w:rsidR="007642AC" w:rsidRDefault="007642AC">
            <w:pPr>
              <w:widowControl/>
              <w:jc w:val="center"/>
              <w:rPr>
                <w:rFonts w:ascii="仿宋" w:eastAsia="仿宋" w:hAnsi="仿宋"/>
                <w:b/>
                <w:spacing w:val="20"/>
                <w:sz w:val="18"/>
                <w:szCs w:val="18"/>
              </w:rPr>
            </w:pPr>
          </w:p>
        </w:tc>
        <w:tc>
          <w:tcPr>
            <w:tcW w:w="780" w:type="dxa"/>
            <w:vAlign w:val="center"/>
          </w:tcPr>
          <w:p w14:paraId="2B4EC9AA"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26F732C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5FE407F8"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1-1</w:t>
            </w:r>
          </w:p>
        </w:tc>
      </w:tr>
      <w:tr w:rsidR="007642AC" w14:paraId="380533BE" w14:textId="77777777">
        <w:trPr>
          <w:trHeight w:val="454"/>
          <w:jc w:val="center"/>
        </w:trPr>
        <w:tc>
          <w:tcPr>
            <w:tcW w:w="1750" w:type="dxa"/>
            <w:vAlign w:val="center"/>
          </w:tcPr>
          <w:p w14:paraId="361B334A" w14:textId="77777777" w:rsidR="007642AC" w:rsidRDefault="00177333">
            <w:pPr>
              <w:widowControl/>
              <w:jc w:val="center"/>
              <w:rPr>
                <w:sz w:val="21"/>
              </w:rPr>
            </w:pPr>
            <w:r>
              <w:rPr>
                <w:rFonts w:hint="eastAsia"/>
                <w:sz w:val="21"/>
              </w:rPr>
              <w:t>社会学</w:t>
            </w:r>
          </w:p>
        </w:tc>
        <w:tc>
          <w:tcPr>
            <w:tcW w:w="1145" w:type="dxa"/>
            <w:vAlign w:val="center"/>
          </w:tcPr>
          <w:p w14:paraId="277CE2A1" w14:textId="24E73C80" w:rsidR="007642AC" w:rsidRDefault="007642AC">
            <w:pPr>
              <w:widowControl/>
              <w:jc w:val="center"/>
              <w:rPr>
                <w:rFonts w:ascii="仿宋" w:eastAsia="仿宋" w:hAnsi="仿宋"/>
                <w:b/>
                <w:spacing w:val="20"/>
                <w:sz w:val="18"/>
                <w:szCs w:val="18"/>
              </w:rPr>
            </w:pPr>
          </w:p>
        </w:tc>
        <w:tc>
          <w:tcPr>
            <w:tcW w:w="641" w:type="dxa"/>
            <w:vAlign w:val="center"/>
          </w:tcPr>
          <w:p w14:paraId="02E47A53"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53660E40"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1CA2FFC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0F20354D"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14B3E4C1" w14:textId="77777777" w:rsidR="007642AC" w:rsidRDefault="007642AC">
            <w:pPr>
              <w:widowControl/>
              <w:jc w:val="center"/>
              <w:rPr>
                <w:rFonts w:ascii="仿宋" w:eastAsia="仿宋" w:hAnsi="仿宋"/>
                <w:b/>
                <w:spacing w:val="20"/>
                <w:sz w:val="18"/>
                <w:szCs w:val="18"/>
              </w:rPr>
            </w:pPr>
          </w:p>
        </w:tc>
        <w:tc>
          <w:tcPr>
            <w:tcW w:w="730" w:type="dxa"/>
            <w:vAlign w:val="center"/>
          </w:tcPr>
          <w:p w14:paraId="31ACE3A3" w14:textId="77777777" w:rsidR="007642AC" w:rsidRDefault="007642AC">
            <w:pPr>
              <w:widowControl/>
              <w:jc w:val="center"/>
              <w:rPr>
                <w:rFonts w:ascii="仿宋" w:eastAsia="仿宋" w:hAnsi="仿宋"/>
                <w:b/>
                <w:spacing w:val="20"/>
                <w:sz w:val="18"/>
                <w:szCs w:val="18"/>
              </w:rPr>
            </w:pPr>
          </w:p>
        </w:tc>
        <w:tc>
          <w:tcPr>
            <w:tcW w:w="780" w:type="dxa"/>
            <w:vAlign w:val="center"/>
          </w:tcPr>
          <w:p w14:paraId="234831EB"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22C09E3A"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7A2B2BB9"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1-1</w:t>
            </w:r>
          </w:p>
        </w:tc>
      </w:tr>
      <w:tr w:rsidR="007642AC" w14:paraId="600E7DD7" w14:textId="77777777">
        <w:trPr>
          <w:trHeight w:val="454"/>
          <w:jc w:val="center"/>
        </w:trPr>
        <w:tc>
          <w:tcPr>
            <w:tcW w:w="1750" w:type="dxa"/>
            <w:vAlign w:val="center"/>
          </w:tcPr>
          <w:p w14:paraId="760DD24E" w14:textId="77777777" w:rsidR="007642AC" w:rsidRDefault="00177333">
            <w:pPr>
              <w:widowControl/>
              <w:jc w:val="center"/>
              <w:rPr>
                <w:sz w:val="21"/>
              </w:rPr>
            </w:pPr>
            <w:r>
              <w:rPr>
                <w:rFonts w:hint="eastAsia"/>
                <w:sz w:val="21"/>
              </w:rPr>
              <w:t>老年社会工作</w:t>
            </w:r>
          </w:p>
        </w:tc>
        <w:tc>
          <w:tcPr>
            <w:tcW w:w="1145" w:type="dxa"/>
            <w:vAlign w:val="center"/>
          </w:tcPr>
          <w:p w14:paraId="54D6F160" w14:textId="77777777" w:rsidR="007642AC" w:rsidRDefault="007642AC">
            <w:pPr>
              <w:widowControl/>
              <w:jc w:val="center"/>
              <w:rPr>
                <w:rFonts w:ascii="仿宋" w:eastAsia="仿宋" w:hAnsi="仿宋"/>
                <w:b/>
                <w:spacing w:val="20"/>
                <w:sz w:val="18"/>
                <w:szCs w:val="18"/>
              </w:rPr>
            </w:pPr>
          </w:p>
        </w:tc>
        <w:tc>
          <w:tcPr>
            <w:tcW w:w="641" w:type="dxa"/>
            <w:vAlign w:val="center"/>
          </w:tcPr>
          <w:p w14:paraId="6DE7EDDA"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11321751"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194F81FA"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0DD872B9"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3FAF3312" w14:textId="77777777" w:rsidR="007642AC" w:rsidRDefault="007642AC">
            <w:pPr>
              <w:widowControl/>
              <w:jc w:val="center"/>
              <w:rPr>
                <w:rFonts w:ascii="仿宋" w:eastAsia="仿宋" w:hAnsi="仿宋"/>
                <w:b/>
                <w:spacing w:val="20"/>
                <w:sz w:val="18"/>
                <w:szCs w:val="18"/>
              </w:rPr>
            </w:pPr>
          </w:p>
        </w:tc>
        <w:tc>
          <w:tcPr>
            <w:tcW w:w="730" w:type="dxa"/>
            <w:vAlign w:val="center"/>
          </w:tcPr>
          <w:p w14:paraId="525480F1" w14:textId="77777777" w:rsidR="007642AC" w:rsidRDefault="007642AC">
            <w:pPr>
              <w:widowControl/>
              <w:jc w:val="center"/>
              <w:rPr>
                <w:rFonts w:ascii="仿宋" w:eastAsia="仿宋" w:hAnsi="仿宋"/>
                <w:b/>
                <w:spacing w:val="20"/>
                <w:sz w:val="18"/>
                <w:szCs w:val="18"/>
              </w:rPr>
            </w:pPr>
          </w:p>
        </w:tc>
        <w:tc>
          <w:tcPr>
            <w:tcW w:w="780" w:type="dxa"/>
            <w:vAlign w:val="center"/>
          </w:tcPr>
          <w:p w14:paraId="70871A4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546F6BAE"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3A6BB0E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1-1</w:t>
            </w:r>
          </w:p>
        </w:tc>
      </w:tr>
      <w:tr w:rsidR="007642AC" w14:paraId="7F0D94BC" w14:textId="77777777">
        <w:trPr>
          <w:trHeight w:val="454"/>
          <w:jc w:val="center"/>
        </w:trPr>
        <w:tc>
          <w:tcPr>
            <w:tcW w:w="1750" w:type="dxa"/>
            <w:vAlign w:val="center"/>
          </w:tcPr>
          <w:p w14:paraId="71BCBE6A" w14:textId="77777777" w:rsidR="007642AC" w:rsidRDefault="00177333">
            <w:pPr>
              <w:widowControl/>
              <w:jc w:val="center"/>
              <w:rPr>
                <w:sz w:val="21"/>
              </w:rPr>
            </w:pPr>
            <w:r>
              <w:rPr>
                <w:rFonts w:hint="eastAsia"/>
                <w:sz w:val="21"/>
              </w:rPr>
              <w:t>老年学概论</w:t>
            </w:r>
          </w:p>
        </w:tc>
        <w:tc>
          <w:tcPr>
            <w:tcW w:w="1145" w:type="dxa"/>
            <w:vAlign w:val="center"/>
          </w:tcPr>
          <w:p w14:paraId="6F012C33" w14:textId="77777777" w:rsidR="007642AC" w:rsidRDefault="007642AC">
            <w:pPr>
              <w:widowControl/>
              <w:jc w:val="center"/>
              <w:rPr>
                <w:rFonts w:ascii="仿宋" w:eastAsia="仿宋" w:hAnsi="仿宋"/>
                <w:b/>
                <w:spacing w:val="20"/>
                <w:sz w:val="18"/>
                <w:szCs w:val="18"/>
              </w:rPr>
            </w:pPr>
          </w:p>
        </w:tc>
        <w:tc>
          <w:tcPr>
            <w:tcW w:w="641" w:type="dxa"/>
            <w:vAlign w:val="center"/>
          </w:tcPr>
          <w:p w14:paraId="5F249F0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6D6B976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30C8F040"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3316E31C"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79160930" w14:textId="77777777" w:rsidR="007642AC" w:rsidRDefault="007642AC">
            <w:pPr>
              <w:widowControl/>
              <w:jc w:val="center"/>
              <w:rPr>
                <w:rFonts w:ascii="仿宋" w:eastAsia="仿宋" w:hAnsi="仿宋"/>
                <w:b/>
                <w:spacing w:val="20"/>
                <w:sz w:val="18"/>
                <w:szCs w:val="18"/>
              </w:rPr>
            </w:pPr>
          </w:p>
        </w:tc>
        <w:tc>
          <w:tcPr>
            <w:tcW w:w="730" w:type="dxa"/>
            <w:vAlign w:val="center"/>
          </w:tcPr>
          <w:p w14:paraId="59278366" w14:textId="77777777" w:rsidR="007642AC" w:rsidRDefault="007642AC">
            <w:pPr>
              <w:widowControl/>
              <w:jc w:val="center"/>
              <w:rPr>
                <w:rFonts w:ascii="仿宋" w:eastAsia="仿宋" w:hAnsi="仿宋"/>
                <w:b/>
                <w:spacing w:val="20"/>
                <w:sz w:val="18"/>
                <w:szCs w:val="18"/>
              </w:rPr>
            </w:pPr>
          </w:p>
        </w:tc>
        <w:tc>
          <w:tcPr>
            <w:tcW w:w="780" w:type="dxa"/>
            <w:vAlign w:val="center"/>
          </w:tcPr>
          <w:p w14:paraId="15D6E377"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1E2EB3F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37479ACB"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1-2</w:t>
            </w:r>
          </w:p>
        </w:tc>
      </w:tr>
      <w:tr w:rsidR="007642AC" w14:paraId="0EA3AD80" w14:textId="77777777">
        <w:trPr>
          <w:trHeight w:val="454"/>
          <w:jc w:val="center"/>
        </w:trPr>
        <w:tc>
          <w:tcPr>
            <w:tcW w:w="1750" w:type="dxa"/>
            <w:vAlign w:val="center"/>
          </w:tcPr>
          <w:p w14:paraId="3E040338" w14:textId="77777777" w:rsidR="007642AC" w:rsidRDefault="00177333">
            <w:pPr>
              <w:widowControl/>
              <w:jc w:val="center"/>
              <w:rPr>
                <w:rFonts w:ascii="仿宋" w:eastAsia="仿宋" w:hAnsi="仿宋"/>
                <w:b/>
                <w:spacing w:val="20"/>
                <w:sz w:val="18"/>
                <w:szCs w:val="18"/>
              </w:rPr>
            </w:pPr>
            <w:r>
              <w:rPr>
                <w:rFonts w:hint="eastAsia"/>
                <w:sz w:val="21"/>
              </w:rPr>
              <w:t>老年心理学</w:t>
            </w:r>
          </w:p>
        </w:tc>
        <w:tc>
          <w:tcPr>
            <w:tcW w:w="1145" w:type="dxa"/>
            <w:vAlign w:val="center"/>
          </w:tcPr>
          <w:p w14:paraId="5E768179" w14:textId="77777777" w:rsidR="007642AC" w:rsidRDefault="007642AC">
            <w:pPr>
              <w:widowControl/>
              <w:jc w:val="center"/>
              <w:rPr>
                <w:rFonts w:ascii="仿宋" w:eastAsia="仿宋" w:hAnsi="仿宋"/>
                <w:b/>
                <w:spacing w:val="20"/>
                <w:sz w:val="18"/>
                <w:szCs w:val="18"/>
              </w:rPr>
            </w:pPr>
          </w:p>
        </w:tc>
        <w:tc>
          <w:tcPr>
            <w:tcW w:w="641" w:type="dxa"/>
            <w:vAlign w:val="center"/>
          </w:tcPr>
          <w:p w14:paraId="6925343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50D0BDA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5E290639"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1CF031B3"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4D6BA4DE" w14:textId="77777777" w:rsidR="007642AC" w:rsidRDefault="007642AC">
            <w:pPr>
              <w:widowControl/>
              <w:jc w:val="center"/>
              <w:rPr>
                <w:rFonts w:ascii="仿宋" w:eastAsia="仿宋" w:hAnsi="仿宋"/>
                <w:b/>
                <w:spacing w:val="20"/>
                <w:sz w:val="18"/>
                <w:szCs w:val="18"/>
              </w:rPr>
            </w:pPr>
          </w:p>
        </w:tc>
        <w:tc>
          <w:tcPr>
            <w:tcW w:w="730" w:type="dxa"/>
            <w:vAlign w:val="center"/>
          </w:tcPr>
          <w:p w14:paraId="272F2224" w14:textId="77777777" w:rsidR="007642AC" w:rsidRDefault="007642AC">
            <w:pPr>
              <w:widowControl/>
              <w:jc w:val="center"/>
              <w:rPr>
                <w:rFonts w:ascii="仿宋" w:eastAsia="仿宋" w:hAnsi="仿宋"/>
                <w:b/>
                <w:spacing w:val="20"/>
                <w:sz w:val="18"/>
                <w:szCs w:val="18"/>
              </w:rPr>
            </w:pPr>
          </w:p>
        </w:tc>
        <w:tc>
          <w:tcPr>
            <w:tcW w:w="780" w:type="dxa"/>
            <w:vAlign w:val="center"/>
          </w:tcPr>
          <w:p w14:paraId="607100B0"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考试</w:t>
            </w:r>
          </w:p>
        </w:tc>
        <w:tc>
          <w:tcPr>
            <w:tcW w:w="1230" w:type="dxa"/>
            <w:vAlign w:val="center"/>
          </w:tcPr>
          <w:p w14:paraId="49209D39"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2B51DB74"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1-2</w:t>
            </w:r>
          </w:p>
        </w:tc>
      </w:tr>
      <w:tr w:rsidR="007642AC" w14:paraId="0C34998F" w14:textId="77777777">
        <w:trPr>
          <w:trHeight w:val="454"/>
          <w:jc w:val="center"/>
        </w:trPr>
        <w:tc>
          <w:tcPr>
            <w:tcW w:w="1750" w:type="dxa"/>
            <w:vAlign w:val="center"/>
          </w:tcPr>
          <w:p w14:paraId="1EA3E685" w14:textId="77777777" w:rsidR="007642AC" w:rsidRDefault="00177333">
            <w:pPr>
              <w:widowControl/>
              <w:jc w:val="left"/>
              <w:rPr>
                <w:rFonts w:ascii="仿宋" w:eastAsia="仿宋" w:hAnsi="仿宋"/>
                <w:b/>
                <w:spacing w:val="20"/>
                <w:sz w:val="18"/>
                <w:szCs w:val="18"/>
              </w:rPr>
            </w:pPr>
            <w:r>
              <w:rPr>
                <w:rFonts w:hint="eastAsia"/>
                <w:sz w:val="21"/>
              </w:rPr>
              <w:t>养老服务管理学</w:t>
            </w:r>
          </w:p>
        </w:tc>
        <w:tc>
          <w:tcPr>
            <w:tcW w:w="1145" w:type="dxa"/>
            <w:vAlign w:val="center"/>
          </w:tcPr>
          <w:p w14:paraId="05C9083D" w14:textId="77777777" w:rsidR="007642AC" w:rsidRDefault="007642AC">
            <w:pPr>
              <w:widowControl/>
              <w:jc w:val="center"/>
              <w:rPr>
                <w:rFonts w:ascii="仿宋" w:eastAsia="仿宋" w:hAnsi="仿宋"/>
                <w:b/>
                <w:spacing w:val="20"/>
                <w:sz w:val="18"/>
                <w:szCs w:val="18"/>
              </w:rPr>
            </w:pPr>
          </w:p>
        </w:tc>
        <w:tc>
          <w:tcPr>
            <w:tcW w:w="641" w:type="dxa"/>
            <w:vAlign w:val="center"/>
          </w:tcPr>
          <w:p w14:paraId="4FC7430E"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685783C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4BD2D096"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2D9918DC"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35568676" w14:textId="77777777" w:rsidR="007642AC" w:rsidRDefault="007642AC">
            <w:pPr>
              <w:widowControl/>
              <w:jc w:val="center"/>
              <w:rPr>
                <w:rFonts w:ascii="仿宋" w:eastAsia="仿宋" w:hAnsi="仿宋"/>
                <w:b/>
                <w:spacing w:val="20"/>
                <w:sz w:val="18"/>
                <w:szCs w:val="18"/>
              </w:rPr>
            </w:pPr>
          </w:p>
        </w:tc>
        <w:tc>
          <w:tcPr>
            <w:tcW w:w="730" w:type="dxa"/>
            <w:vAlign w:val="center"/>
          </w:tcPr>
          <w:p w14:paraId="75E5DED5" w14:textId="77777777" w:rsidR="007642AC" w:rsidRDefault="007642AC">
            <w:pPr>
              <w:widowControl/>
              <w:jc w:val="center"/>
              <w:rPr>
                <w:rFonts w:ascii="仿宋" w:eastAsia="仿宋" w:hAnsi="仿宋"/>
                <w:b/>
                <w:spacing w:val="20"/>
                <w:sz w:val="18"/>
                <w:szCs w:val="18"/>
              </w:rPr>
            </w:pPr>
          </w:p>
        </w:tc>
        <w:tc>
          <w:tcPr>
            <w:tcW w:w="780" w:type="dxa"/>
            <w:vAlign w:val="center"/>
          </w:tcPr>
          <w:p w14:paraId="2F2B1AE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考察</w:t>
            </w:r>
          </w:p>
        </w:tc>
        <w:tc>
          <w:tcPr>
            <w:tcW w:w="1230" w:type="dxa"/>
            <w:vAlign w:val="center"/>
          </w:tcPr>
          <w:p w14:paraId="3FAC670E"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5C4AA57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2-1</w:t>
            </w:r>
          </w:p>
        </w:tc>
      </w:tr>
      <w:tr w:rsidR="007642AC" w14:paraId="44A8FD57" w14:textId="77777777">
        <w:trPr>
          <w:trHeight w:val="454"/>
          <w:jc w:val="center"/>
        </w:trPr>
        <w:tc>
          <w:tcPr>
            <w:tcW w:w="1750" w:type="dxa"/>
            <w:vAlign w:val="center"/>
          </w:tcPr>
          <w:p w14:paraId="1D12A649" w14:textId="77777777" w:rsidR="007642AC" w:rsidRDefault="00177333">
            <w:pPr>
              <w:widowControl/>
              <w:jc w:val="left"/>
              <w:rPr>
                <w:rFonts w:ascii="仿宋" w:eastAsia="仿宋" w:hAnsi="仿宋"/>
                <w:b/>
                <w:spacing w:val="20"/>
                <w:sz w:val="18"/>
                <w:szCs w:val="18"/>
              </w:rPr>
            </w:pPr>
            <w:r>
              <w:rPr>
                <w:rFonts w:hint="eastAsia"/>
                <w:sz w:val="21"/>
              </w:rPr>
              <w:t>老年政策与法规</w:t>
            </w:r>
          </w:p>
        </w:tc>
        <w:tc>
          <w:tcPr>
            <w:tcW w:w="1145" w:type="dxa"/>
            <w:vAlign w:val="center"/>
          </w:tcPr>
          <w:p w14:paraId="2FB8F714" w14:textId="77777777" w:rsidR="007642AC" w:rsidRDefault="007642AC">
            <w:pPr>
              <w:widowControl/>
              <w:jc w:val="center"/>
              <w:rPr>
                <w:rFonts w:ascii="仿宋" w:eastAsia="仿宋" w:hAnsi="仿宋"/>
                <w:b/>
                <w:spacing w:val="20"/>
                <w:sz w:val="18"/>
                <w:szCs w:val="18"/>
              </w:rPr>
            </w:pPr>
          </w:p>
        </w:tc>
        <w:tc>
          <w:tcPr>
            <w:tcW w:w="641" w:type="dxa"/>
            <w:vAlign w:val="center"/>
          </w:tcPr>
          <w:p w14:paraId="3FFB6C16"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6C39764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57BCF887"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3D3A480A"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2E3B8E91" w14:textId="77777777" w:rsidR="007642AC" w:rsidRDefault="007642AC">
            <w:pPr>
              <w:widowControl/>
              <w:jc w:val="center"/>
              <w:rPr>
                <w:rFonts w:ascii="仿宋" w:eastAsia="仿宋" w:hAnsi="仿宋"/>
                <w:b/>
                <w:spacing w:val="20"/>
                <w:sz w:val="18"/>
                <w:szCs w:val="18"/>
              </w:rPr>
            </w:pPr>
          </w:p>
        </w:tc>
        <w:tc>
          <w:tcPr>
            <w:tcW w:w="730" w:type="dxa"/>
            <w:vAlign w:val="center"/>
          </w:tcPr>
          <w:p w14:paraId="57F78B0B" w14:textId="77777777" w:rsidR="007642AC" w:rsidRDefault="007642AC">
            <w:pPr>
              <w:widowControl/>
              <w:jc w:val="center"/>
              <w:rPr>
                <w:rFonts w:ascii="仿宋" w:eastAsia="仿宋" w:hAnsi="仿宋"/>
                <w:b/>
                <w:spacing w:val="20"/>
                <w:sz w:val="18"/>
                <w:szCs w:val="18"/>
              </w:rPr>
            </w:pPr>
          </w:p>
        </w:tc>
        <w:tc>
          <w:tcPr>
            <w:tcW w:w="780" w:type="dxa"/>
            <w:vAlign w:val="center"/>
          </w:tcPr>
          <w:p w14:paraId="17A2F9F9"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考察</w:t>
            </w:r>
          </w:p>
        </w:tc>
        <w:tc>
          <w:tcPr>
            <w:tcW w:w="1230" w:type="dxa"/>
            <w:vAlign w:val="center"/>
          </w:tcPr>
          <w:p w14:paraId="0344270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22E59EE1"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2-1</w:t>
            </w:r>
          </w:p>
        </w:tc>
      </w:tr>
      <w:tr w:rsidR="007642AC" w14:paraId="66357E46" w14:textId="77777777">
        <w:trPr>
          <w:trHeight w:val="454"/>
          <w:jc w:val="center"/>
        </w:trPr>
        <w:tc>
          <w:tcPr>
            <w:tcW w:w="1750" w:type="dxa"/>
            <w:vAlign w:val="center"/>
          </w:tcPr>
          <w:p w14:paraId="594B4535" w14:textId="77777777" w:rsidR="007642AC" w:rsidRDefault="00177333">
            <w:pPr>
              <w:widowControl/>
              <w:jc w:val="left"/>
              <w:rPr>
                <w:rFonts w:ascii="仿宋" w:eastAsia="仿宋" w:hAnsi="仿宋"/>
                <w:b/>
                <w:spacing w:val="20"/>
                <w:sz w:val="18"/>
                <w:szCs w:val="18"/>
              </w:rPr>
            </w:pPr>
            <w:r>
              <w:rPr>
                <w:rFonts w:hint="eastAsia"/>
                <w:sz w:val="21"/>
              </w:rPr>
              <w:t>养老机构运营管理</w:t>
            </w:r>
          </w:p>
        </w:tc>
        <w:tc>
          <w:tcPr>
            <w:tcW w:w="1145" w:type="dxa"/>
            <w:vAlign w:val="center"/>
          </w:tcPr>
          <w:p w14:paraId="6C3AEA39" w14:textId="77777777" w:rsidR="007642AC" w:rsidRDefault="007642AC">
            <w:pPr>
              <w:widowControl/>
              <w:jc w:val="center"/>
              <w:rPr>
                <w:rFonts w:ascii="仿宋" w:eastAsia="仿宋" w:hAnsi="仿宋"/>
                <w:b/>
                <w:spacing w:val="20"/>
                <w:sz w:val="18"/>
                <w:szCs w:val="18"/>
              </w:rPr>
            </w:pPr>
          </w:p>
        </w:tc>
        <w:tc>
          <w:tcPr>
            <w:tcW w:w="641" w:type="dxa"/>
            <w:vAlign w:val="center"/>
          </w:tcPr>
          <w:p w14:paraId="5B4FB8D6"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32C7D2BE"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264B475E"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791405E1"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2646CEC0" w14:textId="77777777" w:rsidR="007642AC" w:rsidRDefault="007642AC">
            <w:pPr>
              <w:widowControl/>
              <w:jc w:val="center"/>
              <w:rPr>
                <w:rFonts w:ascii="仿宋" w:eastAsia="仿宋" w:hAnsi="仿宋"/>
                <w:b/>
                <w:spacing w:val="20"/>
                <w:sz w:val="18"/>
                <w:szCs w:val="18"/>
              </w:rPr>
            </w:pPr>
          </w:p>
        </w:tc>
        <w:tc>
          <w:tcPr>
            <w:tcW w:w="730" w:type="dxa"/>
            <w:vAlign w:val="center"/>
          </w:tcPr>
          <w:p w14:paraId="521E6DF5" w14:textId="77777777" w:rsidR="007642AC" w:rsidRDefault="007642AC">
            <w:pPr>
              <w:widowControl/>
              <w:jc w:val="center"/>
              <w:rPr>
                <w:rFonts w:ascii="仿宋" w:eastAsia="仿宋" w:hAnsi="仿宋"/>
                <w:b/>
                <w:spacing w:val="20"/>
                <w:sz w:val="18"/>
                <w:szCs w:val="18"/>
              </w:rPr>
            </w:pPr>
          </w:p>
        </w:tc>
        <w:tc>
          <w:tcPr>
            <w:tcW w:w="780" w:type="dxa"/>
            <w:vAlign w:val="center"/>
          </w:tcPr>
          <w:p w14:paraId="57CB7A5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考察</w:t>
            </w:r>
          </w:p>
        </w:tc>
        <w:tc>
          <w:tcPr>
            <w:tcW w:w="1230" w:type="dxa"/>
            <w:vAlign w:val="center"/>
          </w:tcPr>
          <w:p w14:paraId="073FB973"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5EA185D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2-2</w:t>
            </w:r>
          </w:p>
        </w:tc>
      </w:tr>
      <w:tr w:rsidR="007642AC" w14:paraId="23E03EF9" w14:textId="77777777">
        <w:trPr>
          <w:trHeight w:val="454"/>
          <w:jc w:val="center"/>
        </w:trPr>
        <w:tc>
          <w:tcPr>
            <w:tcW w:w="1750" w:type="dxa"/>
            <w:vAlign w:val="center"/>
          </w:tcPr>
          <w:p w14:paraId="4896F4A4" w14:textId="77777777" w:rsidR="007642AC" w:rsidRDefault="00177333">
            <w:pPr>
              <w:jc w:val="center"/>
              <w:rPr>
                <w:sz w:val="21"/>
              </w:rPr>
            </w:pPr>
            <w:r>
              <w:rPr>
                <w:rFonts w:hint="eastAsia"/>
                <w:sz w:val="21"/>
              </w:rPr>
              <w:t>居家社区养老服务管理</w:t>
            </w:r>
          </w:p>
          <w:p w14:paraId="629D87EF" w14:textId="77777777" w:rsidR="007642AC" w:rsidRDefault="007642AC">
            <w:pPr>
              <w:widowControl/>
              <w:jc w:val="left"/>
              <w:rPr>
                <w:rFonts w:ascii="仿宋" w:eastAsia="仿宋" w:hAnsi="仿宋"/>
                <w:b/>
                <w:spacing w:val="20"/>
                <w:sz w:val="18"/>
                <w:szCs w:val="18"/>
              </w:rPr>
            </w:pPr>
          </w:p>
        </w:tc>
        <w:tc>
          <w:tcPr>
            <w:tcW w:w="1145" w:type="dxa"/>
            <w:vAlign w:val="center"/>
          </w:tcPr>
          <w:p w14:paraId="55261EC6" w14:textId="77777777" w:rsidR="007642AC" w:rsidRDefault="007642AC">
            <w:pPr>
              <w:widowControl/>
              <w:jc w:val="center"/>
              <w:rPr>
                <w:rFonts w:ascii="仿宋" w:eastAsia="仿宋" w:hAnsi="仿宋"/>
                <w:b/>
                <w:spacing w:val="20"/>
                <w:sz w:val="18"/>
                <w:szCs w:val="18"/>
              </w:rPr>
            </w:pPr>
          </w:p>
        </w:tc>
        <w:tc>
          <w:tcPr>
            <w:tcW w:w="641" w:type="dxa"/>
            <w:vAlign w:val="center"/>
          </w:tcPr>
          <w:p w14:paraId="29742FBD"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w:t>
            </w:r>
          </w:p>
        </w:tc>
        <w:tc>
          <w:tcPr>
            <w:tcW w:w="764" w:type="dxa"/>
            <w:vAlign w:val="center"/>
          </w:tcPr>
          <w:p w14:paraId="3E567BE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w:t>
            </w:r>
          </w:p>
        </w:tc>
        <w:tc>
          <w:tcPr>
            <w:tcW w:w="791" w:type="dxa"/>
            <w:vAlign w:val="center"/>
          </w:tcPr>
          <w:p w14:paraId="27100CDB"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w:t>
            </w:r>
          </w:p>
        </w:tc>
        <w:tc>
          <w:tcPr>
            <w:tcW w:w="736" w:type="dxa"/>
            <w:vAlign w:val="center"/>
          </w:tcPr>
          <w:p w14:paraId="4EA0959A" w14:textId="77777777" w:rsidR="007642AC" w:rsidRDefault="00177333">
            <w:pPr>
              <w:widowControl/>
              <w:tabs>
                <w:tab w:val="left" w:pos="254"/>
              </w:tabs>
              <w:jc w:val="center"/>
              <w:rPr>
                <w:rFonts w:ascii="仿宋" w:eastAsia="仿宋" w:hAnsi="仿宋"/>
                <w:b/>
                <w:spacing w:val="20"/>
                <w:sz w:val="18"/>
                <w:szCs w:val="18"/>
              </w:rPr>
            </w:pPr>
            <w:r>
              <w:rPr>
                <w:rFonts w:ascii="仿宋" w:eastAsia="仿宋" w:hAnsi="仿宋" w:hint="eastAsia"/>
                <w:b/>
                <w:spacing w:val="20"/>
                <w:sz w:val="18"/>
                <w:szCs w:val="18"/>
              </w:rPr>
              <w:t>8</w:t>
            </w:r>
          </w:p>
        </w:tc>
        <w:tc>
          <w:tcPr>
            <w:tcW w:w="723" w:type="dxa"/>
            <w:vAlign w:val="center"/>
          </w:tcPr>
          <w:p w14:paraId="53CDD137" w14:textId="77777777" w:rsidR="007642AC" w:rsidRDefault="007642AC">
            <w:pPr>
              <w:widowControl/>
              <w:jc w:val="center"/>
              <w:rPr>
                <w:rFonts w:ascii="仿宋" w:eastAsia="仿宋" w:hAnsi="仿宋"/>
                <w:b/>
                <w:spacing w:val="20"/>
                <w:sz w:val="18"/>
                <w:szCs w:val="18"/>
              </w:rPr>
            </w:pPr>
          </w:p>
        </w:tc>
        <w:tc>
          <w:tcPr>
            <w:tcW w:w="730" w:type="dxa"/>
            <w:vAlign w:val="center"/>
          </w:tcPr>
          <w:p w14:paraId="35049D7A" w14:textId="77777777" w:rsidR="007642AC" w:rsidRDefault="007642AC">
            <w:pPr>
              <w:widowControl/>
              <w:jc w:val="center"/>
              <w:rPr>
                <w:rFonts w:ascii="仿宋" w:eastAsia="仿宋" w:hAnsi="仿宋"/>
                <w:b/>
                <w:spacing w:val="20"/>
                <w:sz w:val="18"/>
                <w:szCs w:val="18"/>
              </w:rPr>
            </w:pPr>
          </w:p>
        </w:tc>
        <w:tc>
          <w:tcPr>
            <w:tcW w:w="780" w:type="dxa"/>
            <w:vAlign w:val="center"/>
          </w:tcPr>
          <w:p w14:paraId="6DCD988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考察</w:t>
            </w:r>
          </w:p>
        </w:tc>
        <w:tc>
          <w:tcPr>
            <w:tcW w:w="1230" w:type="dxa"/>
            <w:vAlign w:val="center"/>
          </w:tcPr>
          <w:p w14:paraId="0B99FDBC"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劳动经济学院</w:t>
            </w:r>
          </w:p>
        </w:tc>
        <w:tc>
          <w:tcPr>
            <w:tcW w:w="716" w:type="dxa"/>
            <w:vAlign w:val="center"/>
          </w:tcPr>
          <w:p w14:paraId="67B2092F"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2-2</w:t>
            </w:r>
          </w:p>
        </w:tc>
      </w:tr>
      <w:tr w:rsidR="007642AC" w14:paraId="34ECA4D4" w14:textId="77777777">
        <w:trPr>
          <w:trHeight w:val="454"/>
          <w:jc w:val="center"/>
        </w:trPr>
        <w:tc>
          <w:tcPr>
            <w:tcW w:w="1750" w:type="dxa"/>
            <w:tcBorders>
              <w:bottom w:val="single" w:sz="4" w:space="0" w:color="auto"/>
            </w:tcBorders>
            <w:vAlign w:val="center"/>
          </w:tcPr>
          <w:p w14:paraId="498C91AA"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合计</w:t>
            </w:r>
          </w:p>
        </w:tc>
        <w:tc>
          <w:tcPr>
            <w:tcW w:w="1145" w:type="dxa"/>
            <w:tcBorders>
              <w:bottom w:val="single" w:sz="4" w:space="0" w:color="auto"/>
            </w:tcBorders>
            <w:vAlign w:val="center"/>
          </w:tcPr>
          <w:p w14:paraId="4132577C" w14:textId="77777777" w:rsidR="007642AC" w:rsidRDefault="007642AC">
            <w:pPr>
              <w:widowControl/>
              <w:jc w:val="center"/>
              <w:rPr>
                <w:rFonts w:ascii="仿宋" w:eastAsia="仿宋" w:hAnsi="仿宋"/>
                <w:b/>
                <w:spacing w:val="20"/>
                <w:sz w:val="18"/>
                <w:szCs w:val="18"/>
              </w:rPr>
            </w:pPr>
          </w:p>
        </w:tc>
        <w:tc>
          <w:tcPr>
            <w:tcW w:w="641" w:type="dxa"/>
            <w:tcBorders>
              <w:bottom w:val="single" w:sz="4" w:space="0" w:color="auto"/>
            </w:tcBorders>
            <w:vAlign w:val="center"/>
          </w:tcPr>
          <w:p w14:paraId="72DC1421"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20</w:t>
            </w:r>
          </w:p>
        </w:tc>
        <w:tc>
          <w:tcPr>
            <w:tcW w:w="764" w:type="dxa"/>
            <w:tcBorders>
              <w:bottom w:val="single" w:sz="4" w:space="0" w:color="auto"/>
            </w:tcBorders>
            <w:vAlign w:val="center"/>
          </w:tcPr>
          <w:p w14:paraId="79B3C552"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320</w:t>
            </w:r>
          </w:p>
        </w:tc>
        <w:tc>
          <w:tcPr>
            <w:tcW w:w="791" w:type="dxa"/>
            <w:tcBorders>
              <w:bottom w:val="single" w:sz="4" w:space="0" w:color="auto"/>
            </w:tcBorders>
            <w:vAlign w:val="center"/>
          </w:tcPr>
          <w:p w14:paraId="6EBB2F86"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240</w:t>
            </w:r>
          </w:p>
        </w:tc>
        <w:tc>
          <w:tcPr>
            <w:tcW w:w="736" w:type="dxa"/>
            <w:tcBorders>
              <w:bottom w:val="single" w:sz="4" w:space="0" w:color="auto"/>
            </w:tcBorders>
            <w:vAlign w:val="center"/>
          </w:tcPr>
          <w:p w14:paraId="1DB2A4B5"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80</w:t>
            </w:r>
          </w:p>
        </w:tc>
        <w:tc>
          <w:tcPr>
            <w:tcW w:w="723" w:type="dxa"/>
            <w:tcBorders>
              <w:bottom w:val="single" w:sz="4" w:space="0" w:color="auto"/>
            </w:tcBorders>
            <w:vAlign w:val="center"/>
          </w:tcPr>
          <w:p w14:paraId="5F4E50C3" w14:textId="77777777" w:rsidR="007642AC" w:rsidRDefault="007642AC">
            <w:pPr>
              <w:widowControl/>
              <w:jc w:val="center"/>
              <w:rPr>
                <w:rFonts w:ascii="仿宋" w:eastAsia="仿宋" w:hAnsi="仿宋"/>
                <w:b/>
                <w:spacing w:val="20"/>
                <w:sz w:val="18"/>
                <w:szCs w:val="18"/>
              </w:rPr>
            </w:pPr>
          </w:p>
        </w:tc>
        <w:tc>
          <w:tcPr>
            <w:tcW w:w="730" w:type="dxa"/>
            <w:tcBorders>
              <w:bottom w:val="single" w:sz="4" w:space="0" w:color="auto"/>
            </w:tcBorders>
            <w:vAlign w:val="center"/>
          </w:tcPr>
          <w:p w14:paraId="6282B359" w14:textId="77777777" w:rsidR="007642AC" w:rsidRDefault="007642AC">
            <w:pPr>
              <w:widowControl/>
              <w:jc w:val="center"/>
              <w:rPr>
                <w:rFonts w:ascii="仿宋" w:eastAsia="仿宋" w:hAnsi="仿宋"/>
                <w:b/>
                <w:spacing w:val="20"/>
                <w:sz w:val="18"/>
                <w:szCs w:val="18"/>
              </w:rPr>
            </w:pPr>
          </w:p>
        </w:tc>
        <w:tc>
          <w:tcPr>
            <w:tcW w:w="780" w:type="dxa"/>
            <w:tcBorders>
              <w:bottom w:val="single" w:sz="4" w:space="0" w:color="auto"/>
            </w:tcBorders>
            <w:vAlign w:val="center"/>
          </w:tcPr>
          <w:p w14:paraId="39DE5716" w14:textId="77777777" w:rsidR="007642AC" w:rsidRDefault="007642AC">
            <w:pPr>
              <w:widowControl/>
              <w:jc w:val="center"/>
              <w:rPr>
                <w:rFonts w:ascii="仿宋" w:eastAsia="仿宋" w:hAnsi="仿宋"/>
                <w:b/>
                <w:spacing w:val="20"/>
                <w:sz w:val="18"/>
                <w:szCs w:val="18"/>
              </w:rPr>
            </w:pPr>
          </w:p>
        </w:tc>
        <w:tc>
          <w:tcPr>
            <w:tcW w:w="1230" w:type="dxa"/>
            <w:tcBorders>
              <w:bottom w:val="single" w:sz="4" w:space="0" w:color="auto"/>
            </w:tcBorders>
            <w:vAlign w:val="center"/>
          </w:tcPr>
          <w:p w14:paraId="1E8A1E62"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c>
          <w:tcPr>
            <w:tcW w:w="716" w:type="dxa"/>
            <w:tcBorders>
              <w:bottom w:val="single" w:sz="4" w:space="0" w:color="auto"/>
            </w:tcBorders>
            <w:vAlign w:val="center"/>
          </w:tcPr>
          <w:p w14:paraId="288890E2" w14:textId="77777777" w:rsidR="007642AC" w:rsidRDefault="00177333">
            <w:pPr>
              <w:widowControl/>
              <w:jc w:val="center"/>
              <w:rPr>
                <w:rFonts w:ascii="仿宋" w:eastAsia="仿宋" w:hAnsi="仿宋"/>
                <w:b/>
                <w:spacing w:val="20"/>
                <w:sz w:val="18"/>
                <w:szCs w:val="18"/>
              </w:rPr>
            </w:pPr>
            <w:r>
              <w:rPr>
                <w:rFonts w:ascii="仿宋" w:eastAsia="仿宋" w:hAnsi="仿宋" w:hint="eastAsia"/>
                <w:b/>
                <w:spacing w:val="20"/>
                <w:sz w:val="18"/>
                <w:szCs w:val="18"/>
              </w:rPr>
              <w:t>-</w:t>
            </w:r>
          </w:p>
        </w:tc>
      </w:tr>
    </w:tbl>
    <w:p w14:paraId="757C1F4C" w14:textId="77777777" w:rsidR="007642AC" w:rsidRDefault="00177333">
      <w:pPr>
        <w:widowControl/>
        <w:spacing w:line="360" w:lineRule="auto"/>
        <w:rPr>
          <w:bCs/>
          <w:sz w:val="24"/>
          <w:szCs w:val="24"/>
        </w:rPr>
      </w:pPr>
      <w:r>
        <w:rPr>
          <w:rFonts w:hint="eastAsia"/>
          <w:bCs/>
          <w:sz w:val="24"/>
          <w:szCs w:val="24"/>
        </w:rPr>
        <w:t>备注：</w:t>
      </w:r>
    </w:p>
    <w:p w14:paraId="35C98EFC" w14:textId="77777777" w:rsidR="007642AC" w:rsidRDefault="00177333">
      <w:pPr>
        <w:widowControl/>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 xml:space="preserve"> </w:t>
      </w:r>
      <w:r>
        <w:rPr>
          <w:rFonts w:ascii="仿宋_GB2312" w:eastAsia="仿宋_GB2312" w:hint="eastAsia"/>
          <w:sz w:val="24"/>
          <w:szCs w:val="24"/>
        </w:rPr>
        <w:t>总学时</w:t>
      </w:r>
      <w:r>
        <w:rPr>
          <w:rFonts w:ascii="仿宋_GB2312" w:eastAsia="仿宋_GB2312" w:hint="eastAsia"/>
          <w:sz w:val="24"/>
          <w:szCs w:val="24"/>
        </w:rPr>
        <w:t>=</w:t>
      </w:r>
      <w:r>
        <w:rPr>
          <w:rFonts w:ascii="仿宋_GB2312" w:eastAsia="仿宋_GB2312" w:hint="eastAsia"/>
          <w:sz w:val="24"/>
          <w:szCs w:val="24"/>
        </w:rPr>
        <w:t>理论学时</w:t>
      </w:r>
      <w:r>
        <w:rPr>
          <w:rFonts w:ascii="仿宋_GB2312" w:eastAsia="仿宋_GB2312" w:hint="eastAsia"/>
          <w:sz w:val="24"/>
          <w:szCs w:val="24"/>
        </w:rPr>
        <w:t>+</w:t>
      </w:r>
      <w:r>
        <w:rPr>
          <w:rFonts w:ascii="仿宋_GB2312" w:eastAsia="仿宋_GB2312" w:hint="eastAsia"/>
          <w:sz w:val="24"/>
          <w:szCs w:val="24"/>
        </w:rPr>
        <w:t>实践学时（实践教学含实验和上机教学），总学时</w:t>
      </w:r>
      <w:r>
        <w:rPr>
          <w:rFonts w:ascii="仿宋_GB2312" w:eastAsia="仿宋_GB2312" w:hint="eastAsia"/>
          <w:sz w:val="24"/>
          <w:szCs w:val="24"/>
        </w:rPr>
        <w:t>=</w:t>
      </w:r>
      <w:r>
        <w:rPr>
          <w:rFonts w:ascii="仿宋_GB2312" w:eastAsia="仿宋_GB2312" w:hint="eastAsia"/>
          <w:sz w:val="24"/>
          <w:szCs w:val="24"/>
        </w:rPr>
        <w:t>线上学时</w:t>
      </w:r>
      <w:r>
        <w:rPr>
          <w:rFonts w:ascii="仿宋_GB2312" w:eastAsia="仿宋_GB2312" w:hint="eastAsia"/>
          <w:sz w:val="24"/>
          <w:szCs w:val="24"/>
        </w:rPr>
        <w:t>+</w:t>
      </w:r>
      <w:r>
        <w:rPr>
          <w:rFonts w:ascii="仿宋_GB2312" w:eastAsia="仿宋_GB2312" w:hint="eastAsia"/>
          <w:sz w:val="24"/>
          <w:szCs w:val="24"/>
        </w:rPr>
        <w:t>线下学时；</w:t>
      </w:r>
    </w:p>
    <w:p w14:paraId="307193B5" w14:textId="77777777" w:rsidR="007642AC" w:rsidRDefault="00177333">
      <w:pPr>
        <w:widowControl/>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 xml:space="preserve"> </w:t>
      </w:r>
      <w:r>
        <w:rPr>
          <w:rFonts w:ascii="仿宋_GB2312" w:eastAsia="仿宋_GB2312" w:hint="eastAsia"/>
          <w:sz w:val="24"/>
          <w:szCs w:val="24"/>
          <w:highlight w:val="yellow"/>
        </w:rPr>
        <w:t>课程代码</w:t>
      </w:r>
      <w:r>
        <w:rPr>
          <w:rFonts w:ascii="仿宋_GB2312" w:eastAsia="仿宋_GB2312" w:hint="eastAsia"/>
          <w:sz w:val="24"/>
          <w:szCs w:val="24"/>
          <w:highlight w:val="yellow"/>
        </w:rPr>
        <w:t>由教务处</w:t>
      </w:r>
      <w:r>
        <w:rPr>
          <w:rFonts w:ascii="仿宋_GB2312" w:eastAsia="仿宋_GB2312" w:hint="eastAsia"/>
          <w:sz w:val="24"/>
          <w:szCs w:val="24"/>
          <w:highlight w:val="yellow"/>
        </w:rPr>
        <w:t>统一编制</w:t>
      </w:r>
      <w:r>
        <w:rPr>
          <w:rFonts w:ascii="仿宋_GB2312" w:eastAsia="仿宋_GB2312" w:hint="eastAsia"/>
          <w:sz w:val="24"/>
          <w:szCs w:val="24"/>
          <w:highlight w:val="yellow"/>
        </w:rPr>
        <w:t>，</w:t>
      </w:r>
      <w:r>
        <w:rPr>
          <w:rFonts w:ascii="仿宋_GB2312" w:eastAsia="仿宋_GB2312" w:hint="eastAsia"/>
          <w:sz w:val="24"/>
          <w:szCs w:val="24"/>
          <w:highlight w:val="yellow"/>
        </w:rPr>
        <w:t>若使用已有微专业课程，需在表中填写已有课程代码。若需开设新课，则课程代码不填，由教务处统一编制</w:t>
      </w:r>
      <w:r>
        <w:rPr>
          <w:rFonts w:ascii="仿宋_GB2312" w:eastAsia="仿宋_GB2312" w:hint="eastAsia"/>
          <w:sz w:val="24"/>
          <w:szCs w:val="24"/>
        </w:rPr>
        <w:t>；</w:t>
      </w:r>
    </w:p>
    <w:p w14:paraId="38461A89" w14:textId="77777777" w:rsidR="007642AC" w:rsidRDefault="00177333">
      <w:pPr>
        <w:widowControl/>
        <w:rPr>
          <w:rFonts w:ascii="仿宋_GB2312" w:eastAsia="仿宋_GB2312"/>
          <w:sz w:val="24"/>
          <w:szCs w:val="24"/>
        </w:rPr>
      </w:pPr>
      <w:r>
        <w:rPr>
          <w:rFonts w:ascii="仿宋_GB2312" w:eastAsia="仿宋_GB2312" w:hint="eastAsia"/>
          <w:sz w:val="24"/>
          <w:szCs w:val="24"/>
        </w:rPr>
        <w:lastRenderedPageBreak/>
        <w:t>3.</w:t>
      </w:r>
      <w:r>
        <w:rPr>
          <w:rFonts w:ascii="仿宋_GB2312" w:eastAsia="仿宋_GB2312" w:hint="eastAsia"/>
          <w:sz w:val="24"/>
          <w:szCs w:val="24"/>
        </w:rPr>
        <w:t>“开课</w:t>
      </w:r>
      <w:r>
        <w:rPr>
          <w:rFonts w:ascii="仿宋_GB2312" w:eastAsia="仿宋_GB2312" w:hint="eastAsia"/>
          <w:sz w:val="24"/>
          <w:szCs w:val="24"/>
        </w:rPr>
        <w:t>学期</w:t>
      </w:r>
      <w:r>
        <w:rPr>
          <w:rFonts w:ascii="仿宋_GB2312" w:eastAsia="仿宋_GB2312" w:hint="eastAsia"/>
          <w:sz w:val="24"/>
          <w:szCs w:val="24"/>
        </w:rPr>
        <w:t>”</w:t>
      </w:r>
      <w:r>
        <w:rPr>
          <w:rFonts w:ascii="仿宋_GB2312" w:eastAsia="仿宋_GB2312" w:hint="eastAsia"/>
          <w:sz w:val="24"/>
          <w:szCs w:val="24"/>
        </w:rPr>
        <w:t>要求按照</w:t>
      </w:r>
      <w:r>
        <w:rPr>
          <w:rFonts w:ascii="仿宋_GB2312" w:eastAsia="仿宋_GB2312"/>
          <w:sz w:val="24"/>
          <w:szCs w:val="24"/>
        </w:rPr>
        <w:t>4</w:t>
      </w:r>
      <w:r>
        <w:rPr>
          <w:rFonts w:ascii="仿宋_GB2312" w:eastAsia="仿宋_GB2312" w:hint="eastAsia"/>
          <w:sz w:val="24"/>
          <w:szCs w:val="24"/>
        </w:rPr>
        <w:t>年制内</w:t>
      </w:r>
      <w:r>
        <w:rPr>
          <w:rFonts w:ascii="仿宋_GB2312" w:eastAsia="仿宋_GB2312" w:hint="eastAsia"/>
          <w:sz w:val="24"/>
          <w:szCs w:val="24"/>
        </w:rPr>
        <w:t>，</w:t>
      </w:r>
      <w:r>
        <w:rPr>
          <w:rFonts w:ascii="仿宋_GB2312" w:eastAsia="仿宋_GB2312" w:hint="eastAsia"/>
          <w:sz w:val="24"/>
          <w:szCs w:val="24"/>
        </w:rPr>
        <w:t>于第</w:t>
      </w:r>
      <w:r>
        <w:rPr>
          <w:rFonts w:ascii="仿宋_GB2312" w:eastAsia="仿宋_GB2312" w:hint="eastAsia"/>
          <w:sz w:val="24"/>
          <w:szCs w:val="24"/>
        </w:rPr>
        <w:t>2</w:t>
      </w:r>
      <w:r>
        <w:rPr>
          <w:rFonts w:ascii="仿宋_GB2312" w:eastAsia="仿宋_GB2312" w:hint="eastAsia"/>
          <w:sz w:val="24"/>
          <w:szCs w:val="24"/>
        </w:rPr>
        <w:t>-1</w:t>
      </w:r>
      <w:r>
        <w:rPr>
          <w:rFonts w:ascii="仿宋_GB2312" w:eastAsia="仿宋_GB2312" w:hint="eastAsia"/>
          <w:sz w:val="24"/>
          <w:szCs w:val="24"/>
        </w:rPr>
        <w:t>学期开课，结课时间不能晚于</w:t>
      </w:r>
      <w:r>
        <w:rPr>
          <w:rFonts w:ascii="仿宋_GB2312" w:eastAsia="仿宋_GB2312" w:hint="eastAsia"/>
          <w:sz w:val="24"/>
          <w:szCs w:val="24"/>
        </w:rPr>
        <w:t>4-2</w:t>
      </w:r>
      <w:r>
        <w:rPr>
          <w:rFonts w:ascii="仿宋_GB2312" w:eastAsia="仿宋_GB2312" w:hint="eastAsia"/>
          <w:sz w:val="24"/>
          <w:szCs w:val="24"/>
        </w:rPr>
        <w:t>学期。各学院微专业连续开设一年至结业，由秋季开课、春季结业；</w:t>
      </w:r>
    </w:p>
    <w:p w14:paraId="7B0B6CD3" w14:textId="77777777" w:rsidR="007642AC" w:rsidRDefault="00177333">
      <w:pPr>
        <w:widowControl/>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w:t>
      </w:r>
      <w:r>
        <w:rPr>
          <w:rFonts w:ascii="仿宋_GB2312" w:eastAsia="仿宋_GB2312"/>
          <w:sz w:val="24"/>
          <w:szCs w:val="24"/>
        </w:rPr>
        <w:t xml:space="preserve"> </w:t>
      </w:r>
      <w:r>
        <w:rPr>
          <w:rFonts w:ascii="仿宋_GB2312" w:eastAsia="仿宋_GB2312" w:hint="eastAsia"/>
          <w:sz w:val="24"/>
          <w:szCs w:val="24"/>
        </w:rPr>
        <w:t>开课单位填写任课教师所在部门或单位</w:t>
      </w:r>
      <w:r>
        <w:rPr>
          <w:rFonts w:ascii="仿宋_GB2312" w:eastAsia="仿宋_GB2312" w:hint="eastAsia"/>
          <w:sz w:val="24"/>
          <w:szCs w:val="24"/>
        </w:rPr>
        <w:t>；</w:t>
      </w:r>
    </w:p>
    <w:p w14:paraId="7D71DC53" w14:textId="77777777" w:rsidR="007642AC" w:rsidRDefault="00177333">
      <w:pPr>
        <w:widowControl/>
        <w:rPr>
          <w:rFonts w:ascii="仿宋_GB2312" w:eastAsia="仿宋_GB2312"/>
          <w:sz w:val="24"/>
          <w:szCs w:val="24"/>
        </w:rPr>
      </w:pPr>
      <w:r>
        <w:rPr>
          <w:rFonts w:ascii="仿宋_GB2312" w:eastAsia="仿宋_GB2312" w:hint="eastAsia"/>
          <w:sz w:val="24"/>
          <w:szCs w:val="24"/>
        </w:rPr>
        <w:t xml:space="preserve">5. </w:t>
      </w:r>
      <w:r>
        <w:rPr>
          <w:rFonts w:ascii="仿宋_GB2312" w:eastAsia="仿宋_GB2312" w:hint="eastAsia"/>
          <w:sz w:val="24"/>
          <w:szCs w:val="24"/>
        </w:rPr>
        <w:t>按照</w:t>
      </w:r>
      <w:r>
        <w:rPr>
          <w:rFonts w:ascii="仿宋_GB2312" w:eastAsia="仿宋_GB2312" w:hint="eastAsia"/>
          <w:sz w:val="24"/>
          <w:szCs w:val="24"/>
        </w:rPr>
        <w:t>2025</w:t>
      </w:r>
      <w:r>
        <w:rPr>
          <w:rFonts w:ascii="仿宋_GB2312" w:eastAsia="仿宋_GB2312" w:hint="eastAsia"/>
          <w:sz w:val="24"/>
          <w:szCs w:val="24"/>
        </w:rPr>
        <w:t>版本科人才培养方案修订指导意见要求，微专业总学分原则上不超过</w:t>
      </w:r>
      <w:r>
        <w:rPr>
          <w:rFonts w:ascii="仿宋_GB2312" w:eastAsia="仿宋_GB2312" w:hint="eastAsia"/>
          <w:sz w:val="24"/>
          <w:szCs w:val="24"/>
        </w:rPr>
        <w:t>16</w:t>
      </w:r>
      <w:r>
        <w:rPr>
          <w:rFonts w:ascii="仿宋_GB2312" w:eastAsia="仿宋_GB2312" w:hint="eastAsia"/>
          <w:sz w:val="24"/>
          <w:szCs w:val="24"/>
        </w:rPr>
        <w:t>学分；</w:t>
      </w:r>
    </w:p>
    <w:p w14:paraId="7E23B3EB" w14:textId="77777777" w:rsidR="007642AC" w:rsidRDefault="00177333">
      <w:pPr>
        <w:widowControl/>
        <w:rPr>
          <w:rFonts w:ascii="仿宋_GB2312" w:eastAsia="仿宋_GB2312"/>
          <w:sz w:val="24"/>
          <w:szCs w:val="24"/>
        </w:rPr>
      </w:pPr>
      <w:r>
        <w:rPr>
          <w:rFonts w:ascii="仿宋_GB2312" w:eastAsia="仿宋_GB2312" w:hint="eastAsia"/>
          <w:sz w:val="24"/>
          <w:szCs w:val="24"/>
        </w:rPr>
        <w:t xml:space="preserve">6. </w:t>
      </w:r>
      <w:r>
        <w:rPr>
          <w:rFonts w:ascii="仿宋_GB2312" w:eastAsia="仿宋_GB2312" w:hint="eastAsia"/>
          <w:sz w:val="24"/>
          <w:szCs w:val="24"/>
        </w:rPr>
        <w:t>上课时间需安排在周六日。</w:t>
      </w:r>
    </w:p>
    <w:p w14:paraId="5700AF57" w14:textId="77777777" w:rsidR="007642AC" w:rsidRDefault="007642AC">
      <w:pPr>
        <w:widowControl/>
        <w:rPr>
          <w:rFonts w:ascii="仿宋_GB2312" w:eastAsia="仿宋_GB2312"/>
          <w:sz w:val="24"/>
          <w:szCs w:val="24"/>
        </w:rPr>
      </w:pPr>
    </w:p>
    <w:p w14:paraId="005AC714" w14:textId="77777777" w:rsidR="007642AC" w:rsidRDefault="00177333">
      <w:pPr>
        <w:widowControl/>
        <w:spacing w:line="360" w:lineRule="auto"/>
        <w:ind w:firstLineChars="187" w:firstLine="598"/>
        <w:jc w:val="left"/>
        <w:rPr>
          <w:rFonts w:ascii="黑体" w:eastAsia="黑体" w:hAnsi="黑体" w:cs="黑体"/>
          <w:bCs/>
          <w:sz w:val="28"/>
          <w:szCs w:val="28"/>
        </w:rPr>
      </w:pPr>
      <w:r>
        <w:rPr>
          <w:sz w:val="32"/>
        </w:rPr>
        <w:br w:type="page"/>
      </w:r>
      <w:r>
        <w:rPr>
          <w:rFonts w:ascii="黑体" w:eastAsia="黑体" w:hAnsi="黑体" w:cs="黑体" w:hint="eastAsia"/>
          <w:bCs/>
          <w:sz w:val="28"/>
          <w:szCs w:val="28"/>
        </w:rPr>
        <w:lastRenderedPageBreak/>
        <w:t>六、课程简介</w:t>
      </w:r>
    </w:p>
    <w:p w14:paraId="3593F773" w14:textId="77777777" w:rsidR="007642AC" w:rsidRDefault="00177333">
      <w:pPr>
        <w:widowControl/>
        <w:spacing w:line="400" w:lineRule="exact"/>
        <w:ind w:firstLineChars="200" w:firstLine="560"/>
        <w:rPr>
          <w:rFonts w:ascii="仿宋_GB2312" w:eastAsia="仿宋_GB2312"/>
          <w:sz w:val="28"/>
          <w:szCs w:val="28"/>
        </w:rPr>
      </w:pPr>
      <w:r>
        <w:rPr>
          <w:rFonts w:ascii="仿宋_GB2312" w:eastAsia="仿宋_GB2312" w:hint="eastAsia"/>
          <w:sz w:val="28"/>
          <w:szCs w:val="28"/>
        </w:rPr>
        <w:t>对本微专业拟开设的课程进行简要介绍，包括课程主要内容、课程教学设计等，每门课</w:t>
      </w:r>
      <w:r>
        <w:rPr>
          <w:rFonts w:ascii="仿宋_GB2312" w:eastAsia="仿宋_GB2312" w:hint="eastAsia"/>
          <w:sz w:val="28"/>
          <w:szCs w:val="28"/>
        </w:rPr>
        <w:t>300</w:t>
      </w:r>
      <w:r>
        <w:rPr>
          <w:rFonts w:ascii="仿宋_GB2312" w:eastAsia="仿宋_GB2312" w:hint="eastAsia"/>
          <w:sz w:val="28"/>
          <w:szCs w:val="28"/>
        </w:rPr>
        <w:t>字以内。</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2118"/>
        <w:gridCol w:w="6897"/>
      </w:tblGrid>
      <w:tr w:rsidR="007642AC" w14:paraId="788F3330" w14:textId="77777777">
        <w:trPr>
          <w:trHeight w:val="512"/>
          <w:jc w:val="center"/>
        </w:trPr>
        <w:tc>
          <w:tcPr>
            <w:tcW w:w="1110" w:type="dxa"/>
            <w:tcBorders>
              <w:top w:val="single" w:sz="4" w:space="0" w:color="auto"/>
            </w:tcBorders>
            <w:vAlign w:val="center"/>
          </w:tcPr>
          <w:p w14:paraId="5C896E19" w14:textId="77777777" w:rsidR="007642AC" w:rsidRDefault="00177333">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序号</w:t>
            </w:r>
          </w:p>
        </w:tc>
        <w:tc>
          <w:tcPr>
            <w:tcW w:w="2118" w:type="dxa"/>
            <w:tcBorders>
              <w:top w:val="single" w:sz="4" w:space="0" w:color="auto"/>
            </w:tcBorders>
            <w:vAlign w:val="center"/>
          </w:tcPr>
          <w:p w14:paraId="6A1B6447" w14:textId="77777777" w:rsidR="007642AC" w:rsidRDefault="00177333">
            <w:pPr>
              <w:widowControl/>
              <w:jc w:val="center"/>
              <w:rPr>
                <w:rFonts w:ascii="黑体" w:eastAsia="黑体" w:hAnsi="黑体" w:cs="黑体"/>
                <w:b/>
                <w:spacing w:val="20"/>
                <w:sz w:val="28"/>
                <w:szCs w:val="28"/>
              </w:rPr>
            </w:pPr>
            <w:r>
              <w:rPr>
                <w:rFonts w:ascii="黑体" w:eastAsia="黑体" w:hAnsi="黑体" w:cs="黑体" w:hint="eastAsia"/>
                <w:b/>
                <w:spacing w:val="20"/>
                <w:sz w:val="28"/>
                <w:szCs w:val="28"/>
              </w:rPr>
              <w:t>课程名称</w:t>
            </w:r>
          </w:p>
        </w:tc>
        <w:tc>
          <w:tcPr>
            <w:tcW w:w="6897" w:type="dxa"/>
            <w:tcBorders>
              <w:top w:val="single" w:sz="4" w:space="0" w:color="auto"/>
              <w:bottom w:val="single" w:sz="4" w:space="0" w:color="auto"/>
            </w:tcBorders>
            <w:vAlign w:val="center"/>
          </w:tcPr>
          <w:p w14:paraId="66332819" w14:textId="77777777" w:rsidR="007642AC" w:rsidRDefault="00177333">
            <w:pPr>
              <w:widowControl/>
              <w:jc w:val="center"/>
              <w:rPr>
                <w:rFonts w:ascii="黑体" w:eastAsia="黑体" w:hAnsi="黑体" w:cs="黑体"/>
                <w:bCs/>
                <w:sz w:val="28"/>
                <w:szCs w:val="28"/>
              </w:rPr>
            </w:pPr>
            <w:r>
              <w:rPr>
                <w:rFonts w:ascii="黑体" w:eastAsia="黑体" w:hAnsi="黑体" w:cs="黑体" w:hint="eastAsia"/>
                <w:b/>
                <w:spacing w:val="20"/>
                <w:sz w:val="28"/>
                <w:szCs w:val="28"/>
              </w:rPr>
              <w:t>课程简介</w:t>
            </w:r>
          </w:p>
        </w:tc>
      </w:tr>
      <w:tr w:rsidR="007642AC" w14:paraId="4A2FB854" w14:textId="77777777">
        <w:trPr>
          <w:trHeight w:hRule="exact" w:val="1915"/>
          <w:jc w:val="center"/>
        </w:trPr>
        <w:tc>
          <w:tcPr>
            <w:tcW w:w="1110" w:type="dxa"/>
            <w:vAlign w:val="center"/>
          </w:tcPr>
          <w:p w14:paraId="25C7C266"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3</w:t>
            </w:r>
          </w:p>
        </w:tc>
        <w:tc>
          <w:tcPr>
            <w:tcW w:w="2118" w:type="dxa"/>
            <w:vAlign w:val="center"/>
          </w:tcPr>
          <w:p w14:paraId="2130A7B1" w14:textId="77777777" w:rsidR="007642AC" w:rsidRDefault="00177333">
            <w:pPr>
              <w:jc w:val="center"/>
              <w:rPr>
                <w:rStyle w:val="a3"/>
                <w:rFonts w:ascii="宋体" w:hAnsi="宋体" w:cs="宋体"/>
                <w:b w:val="0"/>
                <w:color w:val="05073B"/>
                <w:shd w:val="clear" w:color="auto" w:fill="FDFDFE"/>
              </w:rPr>
            </w:pPr>
            <w:r>
              <w:rPr>
                <w:rFonts w:hint="eastAsia"/>
                <w:sz w:val="21"/>
              </w:rPr>
              <w:t>社会保障学</w:t>
            </w:r>
          </w:p>
        </w:tc>
        <w:tc>
          <w:tcPr>
            <w:tcW w:w="6897" w:type="dxa"/>
            <w:tcBorders>
              <w:top w:val="single" w:sz="4" w:space="0" w:color="auto"/>
              <w:bottom w:val="single" w:sz="4" w:space="0" w:color="auto"/>
            </w:tcBorders>
            <w:vAlign w:val="center"/>
          </w:tcPr>
          <w:p w14:paraId="7F538FDB" w14:textId="77777777" w:rsidR="007642AC" w:rsidRDefault="00177333">
            <w:pPr>
              <w:rPr>
                <w:sz w:val="21"/>
              </w:rPr>
            </w:pPr>
            <w:r>
              <w:rPr>
                <w:rFonts w:hint="eastAsia"/>
                <w:sz w:val="21"/>
              </w:rPr>
              <w:t>本课程从社会保障的制度定位和基本结构体系入手，在全面介绍社会保障制度的基本理论和模式、产生发展阶段、保障理论、基金筹集及管理等基础知识基础上，结合中国实际，对养老保险制度、医疗保险制度、失业保险制度和其他社会保险制度的构建原则、功能分析、制度类型以及发展趋势等内容进行有针对性的阐述和热点问题探讨；此外，本课程还对社会救助与社会福利、中国农村社会保障等内容进行了讲解。</w:t>
            </w:r>
          </w:p>
          <w:p w14:paraId="3639A811" w14:textId="77777777" w:rsidR="007642AC" w:rsidRDefault="007642AC">
            <w:pPr>
              <w:rPr>
                <w:sz w:val="21"/>
              </w:rPr>
            </w:pPr>
          </w:p>
          <w:p w14:paraId="455CB853" w14:textId="77777777" w:rsidR="007642AC" w:rsidRDefault="007642AC">
            <w:pPr>
              <w:rPr>
                <w:rFonts w:ascii="仿宋" w:eastAsia="仿宋" w:hAnsi="仿宋"/>
                <w:bCs/>
                <w:sz w:val="21"/>
                <w:szCs w:val="21"/>
              </w:rPr>
            </w:pPr>
          </w:p>
        </w:tc>
      </w:tr>
      <w:tr w:rsidR="007642AC" w14:paraId="6049232B" w14:textId="77777777">
        <w:trPr>
          <w:trHeight w:hRule="exact" w:val="1915"/>
          <w:jc w:val="center"/>
        </w:trPr>
        <w:tc>
          <w:tcPr>
            <w:tcW w:w="1110" w:type="dxa"/>
            <w:vAlign w:val="center"/>
          </w:tcPr>
          <w:p w14:paraId="2749A992"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2</w:t>
            </w:r>
          </w:p>
        </w:tc>
        <w:tc>
          <w:tcPr>
            <w:tcW w:w="2118" w:type="dxa"/>
            <w:vAlign w:val="center"/>
          </w:tcPr>
          <w:p w14:paraId="61E38B2C" w14:textId="77777777" w:rsidR="007642AC" w:rsidRDefault="00177333">
            <w:pPr>
              <w:pStyle w:val="3"/>
              <w:widowControl/>
              <w:shd w:val="clear" w:color="auto" w:fill="FDFDFE"/>
              <w:spacing w:beforeAutospacing="0" w:after="80" w:afterAutospacing="0" w:line="17" w:lineRule="atLeast"/>
              <w:jc w:val="center"/>
              <w:rPr>
                <w:rStyle w:val="a3"/>
                <w:rFonts w:hint="default"/>
                <w:bCs w:val="0"/>
                <w:color w:val="05073B"/>
                <w:sz w:val="20"/>
                <w:szCs w:val="20"/>
                <w:shd w:val="clear" w:color="auto" w:fill="FDFDFE"/>
              </w:rPr>
            </w:pPr>
            <w:r>
              <w:rPr>
                <w:rStyle w:val="a3"/>
                <w:rFonts w:cs="宋体"/>
                <w:bCs w:val="0"/>
                <w:color w:val="05073B"/>
                <w:sz w:val="20"/>
                <w:szCs w:val="20"/>
                <w:shd w:val="clear" w:color="auto" w:fill="FDFDFE"/>
              </w:rPr>
              <w:t>人力资源管理</w:t>
            </w:r>
          </w:p>
        </w:tc>
        <w:tc>
          <w:tcPr>
            <w:tcW w:w="6897" w:type="dxa"/>
            <w:tcBorders>
              <w:top w:val="single" w:sz="4" w:space="0" w:color="auto"/>
              <w:bottom w:val="single" w:sz="4" w:space="0" w:color="auto"/>
            </w:tcBorders>
            <w:vAlign w:val="center"/>
          </w:tcPr>
          <w:p w14:paraId="66DB16E6" w14:textId="77777777" w:rsidR="007642AC" w:rsidRDefault="00177333">
            <w:pPr>
              <w:widowControl/>
              <w:jc w:val="left"/>
              <w:rPr>
                <w:rFonts w:ascii="仿宋" w:eastAsia="仿宋" w:hAnsi="仿宋"/>
                <w:bCs/>
                <w:sz w:val="21"/>
                <w:szCs w:val="21"/>
              </w:rPr>
            </w:pPr>
            <w:r>
              <w:rPr>
                <w:rFonts w:hint="eastAsia"/>
                <w:sz w:val="21"/>
              </w:rPr>
              <w:t>人力资源管理课程系统讲解组织人才全周期管理的核心内容，涵盖战略规划（匹配组织目标与人才需求）、工作分析（明确岗位职责与任职要求）、招聘配置（人才选拔与合理任用）、培训开发（提升员工技能与潜力）、绩效管理（目标设定与评估反馈）、薪酬福利（激励机制设计）及员工关系管理（协调劳资关系）。课程注重理论与实践结合，通过案例分析、模拟操作等培养学生解决组织人才招、育、用、留的实操能力。</w:t>
            </w:r>
          </w:p>
        </w:tc>
      </w:tr>
      <w:tr w:rsidR="007642AC" w14:paraId="4B462CFC" w14:textId="77777777">
        <w:trPr>
          <w:trHeight w:hRule="exact" w:val="1915"/>
          <w:jc w:val="center"/>
        </w:trPr>
        <w:tc>
          <w:tcPr>
            <w:tcW w:w="1110" w:type="dxa"/>
            <w:vAlign w:val="center"/>
          </w:tcPr>
          <w:p w14:paraId="0D571F20"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3</w:t>
            </w:r>
          </w:p>
        </w:tc>
        <w:tc>
          <w:tcPr>
            <w:tcW w:w="2118" w:type="dxa"/>
            <w:vAlign w:val="center"/>
          </w:tcPr>
          <w:p w14:paraId="40BD13F8" w14:textId="77777777" w:rsidR="007642AC" w:rsidRDefault="00177333">
            <w:pPr>
              <w:pStyle w:val="3"/>
              <w:widowControl/>
              <w:shd w:val="clear" w:color="auto" w:fill="FDFDFE"/>
              <w:spacing w:beforeAutospacing="0" w:after="80" w:afterAutospacing="0" w:line="17" w:lineRule="atLeast"/>
              <w:jc w:val="center"/>
              <w:rPr>
                <w:rStyle w:val="a3"/>
                <w:rFonts w:hint="default"/>
                <w:bCs w:val="0"/>
                <w:color w:val="05073B"/>
                <w:sz w:val="20"/>
                <w:szCs w:val="20"/>
                <w:shd w:val="clear" w:color="auto" w:fill="FDFDFE"/>
              </w:rPr>
            </w:pPr>
            <w:r>
              <w:rPr>
                <w:rStyle w:val="a3"/>
                <w:rFonts w:cs="宋体"/>
                <w:bCs w:val="0"/>
                <w:color w:val="05073B"/>
                <w:sz w:val="20"/>
                <w:szCs w:val="20"/>
                <w:shd w:val="clear" w:color="auto" w:fill="FDFDFE"/>
              </w:rPr>
              <w:t>社会学</w:t>
            </w:r>
          </w:p>
        </w:tc>
        <w:tc>
          <w:tcPr>
            <w:tcW w:w="6897" w:type="dxa"/>
            <w:tcBorders>
              <w:top w:val="single" w:sz="4" w:space="0" w:color="auto"/>
              <w:bottom w:val="single" w:sz="4" w:space="0" w:color="auto"/>
            </w:tcBorders>
            <w:vAlign w:val="center"/>
          </w:tcPr>
          <w:p w14:paraId="65C831AB" w14:textId="77777777" w:rsidR="007642AC" w:rsidRDefault="00177333">
            <w:pPr>
              <w:rPr>
                <w:rFonts w:ascii="仿宋" w:eastAsia="仿宋" w:hAnsi="仿宋"/>
                <w:bCs/>
                <w:sz w:val="21"/>
                <w:szCs w:val="21"/>
              </w:rPr>
            </w:pPr>
            <w:r>
              <w:rPr>
                <w:rFonts w:hint="eastAsia"/>
                <w:sz w:val="21"/>
              </w:rPr>
              <w:t>本门课程的教学，使学生熟悉社会学的基本概念和理论；了解社会学的历史、流派；探索社会问题的解决办法。课程将重点培养学生阅读</w:t>
            </w:r>
            <w:r>
              <w:rPr>
                <w:rFonts w:hint="eastAsia"/>
                <w:sz w:val="21"/>
              </w:rPr>
              <w:t>原著的能力，为学生进一步学习社会工作、劳动科学的课程打下基础。社会学是一门综合性的课程，它阐述了家庭、社区、组织等群体的类型，也关注工业化、社会秩序、国家治理、城乡关系、犯罪、贫困、就业等社会现象和问题，有助于学生理性地看待社会发展过程。</w:t>
            </w:r>
          </w:p>
        </w:tc>
      </w:tr>
      <w:tr w:rsidR="007642AC" w14:paraId="213379C8" w14:textId="77777777">
        <w:trPr>
          <w:trHeight w:hRule="exact" w:val="1915"/>
          <w:jc w:val="center"/>
        </w:trPr>
        <w:tc>
          <w:tcPr>
            <w:tcW w:w="1110" w:type="dxa"/>
            <w:vAlign w:val="center"/>
          </w:tcPr>
          <w:p w14:paraId="5078A382"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4</w:t>
            </w:r>
          </w:p>
        </w:tc>
        <w:tc>
          <w:tcPr>
            <w:tcW w:w="2118" w:type="dxa"/>
            <w:vAlign w:val="center"/>
          </w:tcPr>
          <w:p w14:paraId="5A5CED5E" w14:textId="77777777" w:rsidR="007642AC" w:rsidRDefault="00177333">
            <w:pPr>
              <w:pStyle w:val="3"/>
              <w:widowControl/>
              <w:shd w:val="clear" w:color="auto" w:fill="FDFDFE"/>
              <w:spacing w:beforeAutospacing="0" w:after="80" w:afterAutospacing="0" w:line="17" w:lineRule="atLeast"/>
              <w:jc w:val="center"/>
              <w:rPr>
                <w:rFonts w:ascii="黑体" w:eastAsia="黑体" w:hAnsi="黑体" w:hint="default"/>
                <w:sz w:val="18"/>
                <w:szCs w:val="18"/>
              </w:rPr>
            </w:pPr>
            <w:r>
              <w:rPr>
                <w:rStyle w:val="a3"/>
                <w:rFonts w:cs="宋体"/>
                <w:bCs w:val="0"/>
                <w:color w:val="05073B"/>
                <w:sz w:val="20"/>
                <w:szCs w:val="20"/>
                <w:shd w:val="clear" w:color="auto" w:fill="FDFDFE"/>
              </w:rPr>
              <w:t>老年学概论</w:t>
            </w:r>
          </w:p>
        </w:tc>
        <w:tc>
          <w:tcPr>
            <w:tcW w:w="6897" w:type="dxa"/>
            <w:tcBorders>
              <w:top w:val="single" w:sz="4" w:space="0" w:color="auto"/>
              <w:bottom w:val="single" w:sz="4" w:space="0" w:color="auto"/>
            </w:tcBorders>
            <w:vAlign w:val="center"/>
          </w:tcPr>
          <w:p w14:paraId="7ECC1D4E" w14:textId="77777777" w:rsidR="007642AC" w:rsidRDefault="00177333">
            <w:pPr>
              <w:rPr>
                <w:rFonts w:ascii="仿宋" w:eastAsia="仿宋" w:hAnsi="仿宋"/>
                <w:bCs/>
                <w:sz w:val="21"/>
                <w:szCs w:val="21"/>
              </w:rPr>
            </w:pPr>
            <w:r>
              <w:rPr>
                <w:rFonts w:hint="eastAsia"/>
                <w:sz w:val="21"/>
              </w:rPr>
              <w:t>本课程聚焦老年群体的生理、心理及社会特征，系统阐述人口老龄化趋势、老年生理机能衰退规律及社会角色转变。通过学习老年学理论框架，学生将掌握衰老过程对个体及社会的影响机制，如慢性病管理、社会适应能力变化等。课程结合典型案例，分析老年群体在医疗、经济、文化等领域的特殊需求，为后续课程提供理论支撑。同时，强调跨学科视角，融合生物学、社会学、医学等多领域知识，培养学生对老龄化问题的综合分析能力</w:t>
            </w:r>
          </w:p>
          <w:p w14:paraId="3CB18237" w14:textId="77777777" w:rsidR="007642AC" w:rsidRDefault="007642AC">
            <w:pPr>
              <w:widowControl/>
              <w:jc w:val="left"/>
              <w:rPr>
                <w:rFonts w:ascii="仿宋" w:eastAsia="仿宋" w:hAnsi="仿宋"/>
                <w:bCs/>
                <w:sz w:val="21"/>
                <w:szCs w:val="21"/>
              </w:rPr>
            </w:pPr>
          </w:p>
          <w:p w14:paraId="2FD6F00A" w14:textId="77777777" w:rsidR="007642AC" w:rsidRDefault="007642AC">
            <w:pPr>
              <w:widowControl/>
              <w:jc w:val="left"/>
              <w:rPr>
                <w:rFonts w:ascii="仿宋" w:eastAsia="仿宋" w:hAnsi="仿宋"/>
                <w:bCs/>
                <w:sz w:val="21"/>
                <w:szCs w:val="21"/>
              </w:rPr>
            </w:pPr>
          </w:p>
        </w:tc>
      </w:tr>
      <w:tr w:rsidR="007642AC" w14:paraId="50E57EE3" w14:textId="77777777">
        <w:trPr>
          <w:trHeight w:hRule="exact" w:val="2014"/>
          <w:jc w:val="center"/>
        </w:trPr>
        <w:tc>
          <w:tcPr>
            <w:tcW w:w="1110" w:type="dxa"/>
            <w:vAlign w:val="center"/>
          </w:tcPr>
          <w:p w14:paraId="4F8FB35D"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5</w:t>
            </w:r>
          </w:p>
        </w:tc>
        <w:tc>
          <w:tcPr>
            <w:tcW w:w="2118" w:type="dxa"/>
            <w:vAlign w:val="center"/>
          </w:tcPr>
          <w:p w14:paraId="2BDB172E" w14:textId="77777777" w:rsidR="007642AC" w:rsidRDefault="00177333">
            <w:pPr>
              <w:widowControl/>
              <w:jc w:val="center"/>
              <w:rPr>
                <w:rFonts w:ascii="黑体" w:eastAsia="黑体" w:hAnsi="黑体"/>
                <w:bCs/>
                <w:sz w:val="18"/>
                <w:szCs w:val="18"/>
              </w:rPr>
            </w:pPr>
            <w:r>
              <w:rPr>
                <w:rFonts w:hint="eastAsia"/>
                <w:sz w:val="21"/>
              </w:rPr>
              <w:t>老年心理学</w:t>
            </w:r>
          </w:p>
        </w:tc>
        <w:tc>
          <w:tcPr>
            <w:tcW w:w="6897" w:type="dxa"/>
            <w:tcBorders>
              <w:top w:val="single" w:sz="4" w:space="0" w:color="auto"/>
              <w:bottom w:val="single" w:sz="4" w:space="0" w:color="auto"/>
            </w:tcBorders>
            <w:vAlign w:val="center"/>
          </w:tcPr>
          <w:p w14:paraId="3A4634D6" w14:textId="77777777" w:rsidR="007642AC" w:rsidRDefault="00177333">
            <w:pPr>
              <w:rPr>
                <w:sz w:val="21"/>
              </w:rPr>
            </w:pPr>
            <w:r>
              <w:rPr>
                <w:rFonts w:hint="eastAsia"/>
                <w:sz w:val="21"/>
              </w:rPr>
              <w:t>课程以老年期认知、情感、社会行为变化为核心，系统研究记忆力衰退、情绪波动、社会交往模式调整等心理现象。</w:t>
            </w:r>
            <w:r>
              <w:rPr>
                <w:rFonts w:hint="eastAsia"/>
                <w:sz w:val="21"/>
              </w:rPr>
              <w:t>通过分析老年抑郁、焦虑等常见心理障碍的成因与干预方法，学生将掌握心理评估工具的使用技巧，如抑郁量表、认知功能筛查等。课程结合认知训练、音乐疗法等实践案例，探讨如何通过环境优化、社会支持改善老年人心理健康。此外，课程还涉及临终心理关怀，培养学生处理生命末期心理问题的专业素养。</w:t>
            </w:r>
          </w:p>
          <w:p w14:paraId="219806CC" w14:textId="77777777" w:rsidR="007642AC" w:rsidRDefault="007642AC">
            <w:pPr>
              <w:widowControl/>
              <w:jc w:val="left"/>
              <w:rPr>
                <w:rFonts w:ascii="仿宋" w:eastAsia="仿宋" w:hAnsi="仿宋"/>
                <w:bCs/>
                <w:sz w:val="21"/>
                <w:szCs w:val="21"/>
              </w:rPr>
            </w:pPr>
          </w:p>
          <w:p w14:paraId="14F7E4E8" w14:textId="77777777" w:rsidR="007642AC" w:rsidRDefault="007642AC">
            <w:pPr>
              <w:widowControl/>
              <w:jc w:val="left"/>
              <w:rPr>
                <w:rFonts w:ascii="仿宋" w:eastAsia="仿宋" w:hAnsi="仿宋"/>
                <w:bCs/>
                <w:sz w:val="21"/>
                <w:szCs w:val="21"/>
              </w:rPr>
            </w:pPr>
          </w:p>
          <w:p w14:paraId="6BB19909" w14:textId="77777777" w:rsidR="007642AC" w:rsidRDefault="007642AC">
            <w:pPr>
              <w:widowControl/>
              <w:jc w:val="left"/>
              <w:rPr>
                <w:rFonts w:ascii="仿宋" w:eastAsia="仿宋" w:hAnsi="仿宋"/>
                <w:bCs/>
                <w:sz w:val="21"/>
                <w:szCs w:val="21"/>
              </w:rPr>
            </w:pPr>
          </w:p>
          <w:p w14:paraId="034CDC91" w14:textId="77777777" w:rsidR="007642AC" w:rsidRDefault="007642AC">
            <w:pPr>
              <w:widowControl/>
              <w:jc w:val="left"/>
              <w:rPr>
                <w:rFonts w:ascii="仿宋" w:eastAsia="仿宋" w:hAnsi="仿宋"/>
                <w:bCs/>
                <w:sz w:val="21"/>
                <w:szCs w:val="21"/>
              </w:rPr>
            </w:pPr>
          </w:p>
        </w:tc>
      </w:tr>
      <w:tr w:rsidR="007642AC" w14:paraId="2DFFC053" w14:textId="77777777">
        <w:trPr>
          <w:trHeight w:hRule="exact" w:val="3638"/>
          <w:jc w:val="center"/>
        </w:trPr>
        <w:tc>
          <w:tcPr>
            <w:tcW w:w="1110" w:type="dxa"/>
            <w:vAlign w:val="center"/>
          </w:tcPr>
          <w:p w14:paraId="78B7D16B"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lastRenderedPageBreak/>
              <w:t>6</w:t>
            </w:r>
          </w:p>
        </w:tc>
        <w:tc>
          <w:tcPr>
            <w:tcW w:w="2118" w:type="dxa"/>
            <w:vAlign w:val="center"/>
          </w:tcPr>
          <w:p w14:paraId="12D88D70" w14:textId="77777777" w:rsidR="007642AC" w:rsidRDefault="00177333">
            <w:pPr>
              <w:widowControl/>
              <w:jc w:val="center"/>
              <w:rPr>
                <w:rFonts w:ascii="黑体" w:eastAsia="黑体" w:hAnsi="黑体"/>
                <w:bCs/>
                <w:sz w:val="18"/>
                <w:szCs w:val="18"/>
              </w:rPr>
            </w:pPr>
            <w:r>
              <w:rPr>
                <w:rFonts w:hint="eastAsia"/>
                <w:sz w:val="21"/>
              </w:rPr>
              <w:t>老年社会工作</w:t>
            </w:r>
          </w:p>
        </w:tc>
        <w:tc>
          <w:tcPr>
            <w:tcW w:w="6897" w:type="dxa"/>
            <w:tcBorders>
              <w:top w:val="single" w:sz="4" w:space="0" w:color="auto"/>
              <w:bottom w:val="single" w:sz="4" w:space="0" w:color="auto"/>
            </w:tcBorders>
            <w:vAlign w:val="center"/>
          </w:tcPr>
          <w:p w14:paraId="17B6C5C8" w14:textId="77777777" w:rsidR="007642AC" w:rsidRDefault="00177333">
            <w:pPr>
              <w:rPr>
                <w:sz w:val="21"/>
              </w:rPr>
            </w:pPr>
            <w:r>
              <w:rPr>
                <w:rFonts w:hint="eastAsia"/>
                <w:sz w:val="21"/>
              </w:rPr>
              <w:t>课程本着理论联系实际的原则，在课程结构的设计上，由面到点，主要包括国内外老年福利服务制度、国内老年社会工作服务的发展历程、老年社会工作的原则、伦理、基本知识和工作技巧、以及特殊问题老人的服务方法等。在教学过程中，在确保基本结构系统性的同时，又兼顾具体内容的开放性与灵活性，不断吸纳最新的科研成果，并持续与养老事业的动态现实相结合，培养学生运用理论处理实际问题的能力。具体而言，通过本课程的学习，使学生认识到我国面临的老龄化现实及养老现状，理解发展老年社会工作的意义，树立为老服务的理念；了解老年人个案工作、小组工</w:t>
            </w:r>
            <w:r>
              <w:rPr>
                <w:rFonts w:hint="eastAsia"/>
                <w:sz w:val="21"/>
              </w:rPr>
              <w:t>作、社区工作、以及在老年院舍从事社会工作的要点；学会老年阶段面临的如空巢、虐老、丧亲、临终关怀等特定问题的处理办法，为未来从事老年社会工作打下必要的知识基础</w:t>
            </w:r>
          </w:p>
          <w:p w14:paraId="67A3770D" w14:textId="77777777" w:rsidR="007642AC" w:rsidRDefault="007642AC">
            <w:pPr>
              <w:widowControl/>
              <w:jc w:val="left"/>
              <w:rPr>
                <w:rFonts w:ascii="仿宋" w:eastAsia="仿宋" w:hAnsi="仿宋"/>
                <w:bCs/>
                <w:sz w:val="21"/>
                <w:szCs w:val="21"/>
              </w:rPr>
            </w:pPr>
          </w:p>
          <w:p w14:paraId="5450FE3D" w14:textId="77777777" w:rsidR="007642AC" w:rsidRDefault="007642AC">
            <w:pPr>
              <w:widowControl/>
              <w:jc w:val="left"/>
              <w:rPr>
                <w:rFonts w:ascii="仿宋" w:eastAsia="仿宋" w:hAnsi="仿宋"/>
                <w:bCs/>
                <w:sz w:val="21"/>
                <w:szCs w:val="21"/>
              </w:rPr>
            </w:pPr>
          </w:p>
          <w:p w14:paraId="64A1F892" w14:textId="77777777" w:rsidR="007642AC" w:rsidRDefault="007642AC">
            <w:pPr>
              <w:widowControl/>
              <w:jc w:val="left"/>
              <w:rPr>
                <w:rFonts w:ascii="仿宋" w:eastAsia="仿宋" w:hAnsi="仿宋"/>
                <w:bCs/>
                <w:sz w:val="21"/>
                <w:szCs w:val="21"/>
              </w:rPr>
            </w:pPr>
          </w:p>
          <w:p w14:paraId="1D9A62E8" w14:textId="77777777" w:rsidR="007642AC" w:rsidRDefault="007642AC">
            <w:pPr>
              <w:widowControl/>
              <w:jc w:val="left"/>
              <w:rPr>
                <w:rFonts w:ascii="仿宋" w:eastAsia="仿宋" w:hAnsi="仿宋"/>
                <w:bCs/>
                <w:sz w:val="21"/>
                <w:szCs w:val="21"/>
              </w:rPr>
            </w:pPr>
          </w:p>
        </w:tc>
      </w:tr>
      <w:tr w:rsidR="007642AC" w14:paraId="4E6BAC8F" w14:textId="77777777">
        <w:trPr>
          <w:trHeight w:hRule="exact" w:val="2030"/>
          <w:jc w:val="center"/>
        </w:trPr>
        <w:tc>
          <w:tcPr>
            <w:tcW w:w="1110" w:type="dxa"/>
            <w:vAlign w:val="center"/>
          </w:tcPr>
          <w:p w14:paraId="4811C66B"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7</w:t>
            </w:r>
          </w:p>
        </w:tc>
        <w:tc>
          <w:tcPr>
            <w:tcW w:w="2118" w:type="dxa"/>
            <w:vAlign w:val="center"/>
          </w:tcPr>
          <w:p w14:paraId="4B079B8B" w14:textId="77777777" w:rsidR="007642AC" w:rsidRDefault="00177333">
            <w:pPr>
              <w:widowControl/>
              <w:jc w:val="center"/>
              <w:rPr>
                <w:rFonts w:ascii="黑体" w:eastAsia="黑体" w:hAnsi="黑体"/>
                <w:bCs/>
                <w:sz w:val="18"/>
                <w:szCs w:val="18"/>
              </w:rPr>
            </w:pPr>
            <w:r>
              <w:rPr>
                <w:rFonts w:hint="eastAsia"/>
                <w:sz w:val="21"/>
              </w:rPr>
              <w:t>养老服务管理学</w:t>
            </w:r>
          </w:p>
        </w:tc>
        <w:tc>
          <w:tcPr>
            <w:tcW w:w="6897" w:type="dxa"/>
            <w:tcBorders>
              <w:top w:val="single" w:sz="4" w:space="0" w:color="auto"/>
              <w:bottom w:val="single" w:sz="4" w:space="0" w:color="auto"/>
            </w:tcBorders>
            <w:vAlign w:val="center"/>
          </w:tcPr>
          <w:p w14:paraId="4F8EA2E6" w14:textId="77777777" w:rsidR="007642AC" w:rsidRDefault="00177333">
            <w:pPr>
              <w:rPr>
                <w:sz w:val="21"/>
              </w:rPr>
            </w:pPr>
            <w:r>
              <w:rPr>
                <w:rFonts w:hint="eastAsia"/>
                <w:sz w:val="21"/>
              </w:rPr>
              <w:t>课程以服务质量管理为核心，系统讲解需求评估、服务标准制定、满意度调查等环节。通过分析某连锁养老机构的服务流程优化案例，学生将掌握</w:t>
            </w:r>
            <w:r>
              <w:rPr>
                <w:rFonts w:hint="eastAsia"/>
                <w:sz w:val="21"/>
              </w:rPr>
              <w:t>PDCA</w:t>
            </w:r>
            <w:r>
              <w:rPr>
                <w:rFonts w:hint="eastAsia"/>
                <w:sz w:val="21"/>
              </w:rPr>
              <w:t>循环在服务改进中的应用。课程还涉及服务创新，如“医养结合”模式、智慧养老平台建设，探讨如何通过科技手段提升服务效率。此外，课程强调风险管理，结合跌倒预防、用药安全等案例，训练学生制定应急预案的能力。</w:t>
            </w:r>
          </w:p>
          <w:p w14:paraId="5A130D64" w14:textId="77777777" w:rsidR="007642AC" w:rsidRDefault="007642AC">
            <w:pPr>
              <w:widowControl/>
              <w:jc w:val="left"/>
              <w:rPr>
                <w:rFonts w:ascii="仿宋" w:eastAsia="仿宋" w:hAnsi="仿宋"/>
                <w:bCs/>
                <w:sz w:val="21"/>
                <w:szCs w:val="21"/>
              </w:rPr>
            </w:pPr>
          </w:p>
          <w:p w14:paraId="55C9CAE7" w14:textId="77777777" w:rsidR="007642AC" w:rsidRDefault="007642AC">
            <w:pPr>
              <w:widowControl/>
              <w:jc w:val="left"/>
              <w:rPr>
                <w:rFonts w:ascii="仿宋" w:eastAsia="仿宋" w:hAnsi="仿宋"/>
                <w:bCs/>
                <w:sz w:val="21"/>
                <w:szCs w:val="21"/>
              </w:rPr>
            </w:pPr>
          </w:p>
          <w:p w14:paraId="7B1F771B" w14:textId="77777777" w:rsidR="007642AC" w:rsidRDefault="007642AC">
            <w:pPr>
              <w:widowControl/>
              <w:jc w:val="left"/>
              <w:rPr>
                <w:rFonts w:ascii="仿宋" w:eastAsia="仿宋" w:hAnsi="仿宋"/>
                <w:bCs/>
                <w:sz w:val="21"/>
                <w:szCs w:val="21"/>
              </w:rPr>
            </w:pPr>
          </w:p>
        </w:tc>
      </w:tr>
      <w:tr w:rsidR="007642AC" w14:paraId="782AD815" w14:textId="77777777">
        <w:trPr>
          <w:trHeight w:hRule="exact" w:val="2223"/>
          <w:jc w:val="center"/>
        </w:trPr>
        <w:tc>
          <w:tcPr>
            <w:tcW w:w="1110" w:type="dxa"/>
            <w:vAlign w:val="center"/>
          </w:tcPr>
          <w:p w14:paraId="4582622E"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8</w:t>
            </w:r>
          </w:p>
        </w:tc>
        <w:tc>
          <w:tcPr>
            <w:tcW w:w="2118" w:type="dxa"/>
            <w:vAlign w:val="center"/>
          </w:tcPr>
          <w:p w14:paraId="668E1278" w14:textId="77777777" w:rsidR="007642AC" w:rsidRDefault="00177333">
            <w:pPr>
              <w:widowControl/>
              <w:jc w:val="center"/>
              <w:rPr>
                <w:rFonts w:ascii="黑体" w:eastAsia="黑体" w:hAnsi="黑体"/>
                <w:bCs/>
                <w:sz w:val="18"/>
                <w:szCs w:val="18"/>
              </w:rPr>
            </w:pPr>
            <w:r>
              <w:rPr>
                <w:rFonts w:hint="eastAsia"/>
                <w:sz w:val="21"/>
              </w:rPr>
              <w:t>老年政策与法规</w:t>
            </w:r>
          </w:p>
        </w:tc>
        <w:tc>
          <w:tcPr>
            <w:tcW w:w="6897" w:type="dxa"/>
            <w:tcBorders>
              <w:top w:val="single" w:sz="4" w:space="0" w:color="auto"/>
              <w:bottom w:val="single" w:sz="4" w:space="0" w:color="auto"/>
            </w:tcBorders>
            <w:vAlign w:val="center"/>
          </w:tcPr>
          <w:p w14:paraId="50CF46F4" w14:textId="77777777" w:rsidR="007642AC" w:rsidRDefault="00177333">
            <w:pPr>
              <w:rPr>
                <w:sz w:val="21"/>
              </w:rPr>
            </w:pPr>
            <w:r>
              <w:rPr>
                <w:rFonts w:hint="eastAsia"/>
                <w:sz w:val="21"/>
              </w:rPr>
              <w:t>课程系统梳理《老年人权益保障法》《养老机构管理办法》等法律法规，重点解析“居住权”“赡养义务”等法律条款的司法实践。通过分析“保健品诈骗”等典型案例，学生将掌握法律文书撰写、证据收集等实务技能。课程还涉及政策制定流程，如如何通过公众参与提升政策科学性，并对比国内外政策差异，如美国</w:t>
            </w:r>
            <w:r>
              <w:rPr>
                <w:rFonts w:hint="eastAsia"/>
                <w:sz w:val="21"/>
              </w:rPr>
              <w:t>PACE</w:t>
            </w:r>
            <w:r>
              <w:rPr>
                <w:rFonts w:hint="eastAsia"/>
                <w:sz w:val="21"/>
              </w:rPr>
              <w:t>模式与我国长期护理保险制度的异同。此外，课程强调政策执行监督，探讨如何通过行政复议、司法诉讼保障老年人合法权益。</w:t>
            </w:r>
          </w:p>
          <w:p w14:paraId="3ADE66DE" w14:textId="77777777" w:rsidR="007642AC" w:rsidRDefault="007642AC">
            <w:pPr>
              <w:widowControl/>
              <w:jc w:val="left"/>
              <w:rPr>
                <w:rFonts w:ascii="仿宋" w:eastAsia="仿宋" w:hAnsi="仿宋"/>
                <w:bCs/>
                <w:sz w:val="21"/>
                <w:szCs w:val="21"/>
              </w:rPr>
            </w:pPr>
          </w:p>
          <w:p w14:paraId="375A15D3" w14:textId="77777777" w:rsidR="007642AC" w:rsidRDefault="007642AC">
            <w:pPr>
              <w:widowControl/>
              <w:jc w:val="left"/>
              <w:rPr>
                <w:rFonts w:ascii="仿宋" w:eastAsia="仿宋" w:hAnsi="仿宋"/>
                <w:bCs/>
                <w:sz w:val="21"/>
                <w:szCs w:val="21"/>
              </w:rPr>
            </w:pPr>
          </w:p>
          <w:p w14:paraId="541E5613" w14:textId="77777777" w:rsidR="007642AC" w:rsidRDefault="007642AC">
            <w:pPr>
              <w:widowControl/>
              <w:jc w:val="left"/>
              <w:rPr>
                <w:rFonts w:ascii="仿宋" w:eastAsia="仿宋" w:hAnsi="仿宋"/>
                <w:bCs/>
                <w:sz w:val="21"/>
                <w:szCs w:val="21"/>
              </w:rPr>
            </w:pPr>
          </w:p>
          <w:p w14:paraId="70F29C26" w14:textId="77777777" w:rsidR="007642AC" w:rsidRDefault="007642AC">
            <w:pPr>
              <w:widowControl/>
              <w:jc w:val="left"/>
              <w:rPr>
                <w:rFonts w:ascii="仿宋" w:eastAsia="仿宋" w:hAnsi="仿宋"/>
                <w:bCs/>
                <w:sz w:val="21"/>
                <w:szCs w:val="21"/>
              </w:rPr>
            </w:pPr>
          </w:p>
        </w:tc>
      </w:tr>
      <w:tr w:rsidR="007642AC" w14:paraId="25ECE632" w14:textId="77777777">
        <w:trPr>
          <w:trHeight w:hRule="exact" w:val="2250"/>
          <w:jc w:val="center"/>
        </w:trPr>
        <w:tc>
          <w:tcPr>
            <w:tcW w:w="1110" w:type="dxa"/>
            <w:vAlign w:val="center"/>
          </w:tcPr>
          <w:p w14:paraId="568F73CA"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9</w:t>
            </w:r>
          </w:p>
        </w:tc>
        <w:tc>
          <w:tcPr>
            <w:tcW w:w="2118" w:type="dxa"/>
            <w:vAlign w:val="center"/>
          </w:tcPr>
          <w:p w14:paraId="7377C106" w14:textId="77777777" w:rsidR="007642AC" w:rsidRDefault="00177333">
            <w:pPr>
              <w:widowControl/>
              <w:jc w:val="center"/>
              <w:rPr>
                <w:rFonts w:ascii="黑体" w:eastAsia="黑体" w:hAnsi="黑体"/>
                <w:bCs/>
                <w:sz w:val="18"/>
                <w:szCs w:val="18"/>
              </w:rPr>
            </w:pPr>
            <w:r>
              <w:rPr>
                <w:rFonts w:hint="eastAsia"/>
                <w:sz w:val="21"/>
              </w:rPr>
              <w:t>养老机构运营管理</w:t>
            </w:r>
          </w:p>
        </w:tc>
        <w:tc>
          <w:tcPr>
            <w:tcW w:w="6897" w:type="dxa"/>
            <w:tcBorders>
              <w:top w:val="single" w:sz="4" w:space="0" w:color="auto"/>
              <w:bottom w:val="single" w:sz="4" w:space="0" w:color="auto"/>
            </w:tcBorders>
            <w:vAlign w:val="center"/>
          </w:tcPr>
          <w:p w14:paraId="49692FDE" w14:textId="77777777" w:rsidR="007642AC" w:rsidRDefault="00177333">
            <w:pPr>
              <w:rPr>
                <w:sz w:val="21"/>
              </w:rPr>
            </w:pPr>
            <w:r>
              <w:rPr>
                <w:rFonts w:hint="eastAsia"/>
                <w:sz w:val="21"/>
              </w:rPr>
              <w:t>课程以市场化运营为导向，系统讲解战略规划、人力资源管理、财务管理等模块。通过某高端养老社区的盈利模式分析，学生将掌握市场定位、定价策略等商业逻辑。人力资源管理部分涵盖护理员培训体系、激励机制设计，强调通过职业资格认证提升服务专业性。财务管理模块则涉及成本控制、预算编制，结合某机构“医养结合”项目的投资回报分析，训练学生制定可持续发展方案的能力。课程还涉及信息化建设，如电子健康档案、智能安防系统的应用。</w:t>
            </w:r>
          </w:p>
          <w:p w14:paraId="4E49BB1E" w14:textId="77777777" w:rsidR="007642AC" w:rsidRDefault="007642AC">
            <w:pPr>
              <w:widowControl/>
              <w:jc w:val="left"/>
              <w:rPr>
                <w:rFonts w:ascii="仿宋" w:eastAsia="仿宋" w:hAnsi="仿宋"/>
                <w:bCs/>
                <w:sz w:val="21"/>
                <w:szCs w:val="21"/>
              </w:rPr>
            </w:pPr>
          </w:p>
          <w:p w14:paraId="4085877C" w14:textId="77777777" w:rsidR="007642AC" w:rsidRDefault="007642AC">
            <w:pPr>
              <w:widowControl/>
              <w:jc w:val="left"/>
              <w:rPr>
                <w:rFonts w:ascii="仿宋" w:eastAsia="仿宋" w:hAnsi="仿宋"/>
                <w:bCs/>
                <w:sz w:val="21"/>
                <w:szCs w:val="21"/>
              </w:rPr>
            </w:pPr>
          </w:p>
          <w:p w14:paraId="21617F6D" w14:textId="77777777" w:rsidR="007642AC" w:rsidRDefault="007642AC">
            <w:pPr>
              <w:widowControl/>
              <w:jc w:val="left"/>
              <w:rPr>
                <w:rFonts w:ascii="仿宋" w:eastAsia="仿宋" w:hAnsi="仿宋"/>
                <w:bCs/>
                <w:sz w:val="21"/>
                <w:szCs w:val="21"/>
              </w:rPr>
            </w:pPr>
          </w:p>
          <w:p w14:paraId="1C4FBA93" w14:textId="77777777" w:rsidR="007642AC" w:rsidRDefault="007642AC">
            <w:pPr>
              <w:widowControl/>
              <w:jc w:val="left"/>
              <w:rPr>
                <w:rFonts w:ascii="仿宋" w:eastAsia="仿宋" w:hAnsi="仿宋"/>
                <w:bCs/>
                <w:sz w:val="21"/>
                <w:szCs w:val="21"/>
              </w:rPr>
            </w:pPr>
          </w:p>
        </w:tc>
      </w:tr>
      <w:tr w:rsidR="007642AC" w14:paraId="1D7627CA" w14:textId="77777777">
        <w:trPr>
          <w:trHeight w:hRule="exact" w:val="2145"/>
          <w:jc w:val="center"/>
        </w:trPr>
        <w:tc>
          <w:tcPr>
            <w:tcW w:w="1110" w:type="dxa"/>
            <w:vAlign w:val="center"/>
          </w:tcPr>
          <w:p w14:paraId="33727750" w14:textId="77777777" w:rsidR="007642AC" w:rsidRDefault="00177333">
            <w:pPr>
              <w:widowControl/>
              <w:jc w:val="center"/>
              <w:rPr>
                <w:rFonts w:ascii="黑体" w:eastAsia="黑体" w:hAnsi="黑体"/>
                <w:bCs/>
                <w:sz w:val="18"/>
                <w:szCs w:val="18"/>
              </w:rPr>
            </w:pPr>
            <w:r>
              <w:rPr>
                <w:rFonts w:ascii="黑体" w:eastAsia="黑体" w:hAnsi="黑体" w:hint="eastAsia"/>
                <w:bCs/>
                <w:sz w:val="18"/>
                <w:szCs w:val="18"/>
              </w:rPr>
              <w:t>10</w:t>
            </w:r>
          </w:p>
        </w:tc>
        <w:tc>
          <w:tcPr>
            <w:tcW w:w="2118" w:type="dxa"/>
            <w:vAlign w:val="center"/>
          </w:tcPr>
          <w:p w14:paraId="7DFF189C" w14:textId="77777777" w:rsidR="007642AC" w:rsidRDefault="00177333">
            <w:pPr>
              <w:jc w:val="center"/>
              <w:rPr>
                <w:sz w:val="21"/>
              </w:rPr>
            </w:pPr>
            <w:r>
              <w:rPr>
                <w:rFonts w:hint="eastAsia"/>
                <w:sz w:val="21"/>
              </w:rPr>
              <w:t>居家社区养老服务管理</w:t>
            </w:r>
          </w:p>
          <w:p w14:paraId="0D71EE62" w14:textId="77777777" w:rsidR="007642AC" w:rsidRDefault="007642AC">
            <w:pPr>
              <w:widowControl/>
              <w:jc w:val="center"/>
              <w:rPr>
                <w:rFonts w:ascii="黑体" w:eastAsia="黑体" w:hAnsi="黑体"/>
                <w:bCs/>
                <w:sz w:val="18"/>
                <w:szCs w:val="18"/>
              </w:rPr>
            </w:pPr>
          </w:p>
        </w:tc>
        <w:tc>
          <w:tcPr>
            <w:tcW w:w="6897" w:type="dxa"/>
            <w:tcBorders>
              <w:top w:val="single" w:sz="4" w:space="0" w:color="auto"/>
              <w:bottom w:val="single" w:sz="4" w:space="0" w:color="auto"/>
            </w:tcBorders>
            <w:vAlign w:val="center"/>
          </w:tcPr>
          <w:p w14:paraId="568B27BD" w14:textId="77777777" w:rsidR="007642AC" w:rsidRDefault="00177333">
            <w:pPr>
              <w:rPr>
                <w:sz w:val="21"/>
              </w:rPr>
            </w:pPr>
            <w:r>
              <w:rPr>
                <w:rFonts w:hint="eastAsia"/>
                <w:sz w:val="21"/>
              </w:rPr>
              <w:t>课程聚焦居家适老化改造、社区日间照料中心运营等场景，系统讲解服务模式设计、资源整合路径。通过分析“家庭养老床位”试点项目，学生将掌握服务包设计（如助餐、助浴、康复护理）与风险防控机制。社区资源整合模块涵盖志愿者管理、医联体合作，强调通过“时间银行”等激励机制调动社会力量参与。课程还涉及智慧养老应用，如通过物联网设备实现居家安全监测，并结合某街道“</w:t>
            </w:r>
            <w:r>
              <w:rPr>
                <w:rFonts w:hint="eastAsia"/>
                <w:sz w:val="21"/>
              </w:rPr>
              <w:t>15</w:t>
            </w:r>
            <w:r>
              <w:rPr>
                <w:rFonts w:hint="eastAsia"/>
                <w:sz w:val="21"/>
              </w:rPr>
              <w:t>分钟养老服务圈”建设案例，训练学生制定社区服务网络规划的能力。</w:t>
            </w:r>
          </w:p>
          <w:p w14:paraId="49616918" w14:textId="77777777" w:rsidR="007642AC" w:rsidRDefault="007642AC">
            <w:pPr>
              <w:widowControl/>
              <w:jc w:val="left"/>
              <w:rPr>
                <w:rFonts w:ascii="仿宋" w:eastAsia="仿宋" w:hAnsi="仿宋"/>
                <w:bCs/>
                <w:sz w:val="21"/>
                <w:szCs w:val="21"/>
              </w:rPr>
            </w:pPr>
          </w:p>
          <w:p w14:paraId="2A7A799B" w14:textId="77777777" w:rsidR="007642AC" w:rsidRDefault="007642AC">
            <w:pPr>
              <w:widowControl/>
              <w:jc w:val="left"/>
              <w:rPr>
                <w:rFonts w:ascii="仿宋" w:eastAsia="仿宋" w:hAnsi="仿宋"/>
                <w:bCs/>
                <w:sz w:val="21"/>
                <w:szCs w:val="21"/>
              </w:rPr>
            </w:pPr>
          </w:p>
          <w:p w14:paraId="05A92F87" w14:textId="77777777" w:rsidR="007642AC" w:rsidRDefault="007642AC">
            <w:pPr>
              <w:widowControl/>
              <w:jc w:val="left"/>
              <w:rPr>
                <w:rFonts w:ascii="仿宋" w:eastAsia="仿宋" w:hAnsi="仿宋"/>
                <w:bCs/>
                <w:sz w:val="21"/>
                <w:szCs w:val="21"/>
              </w:rPr>
            </w:pPr>
          </w:p>
          <w:p w14:paraId="32B7DFAC" w14:textId="77777777" w:rsidR="007642AC" w:rsidRDefault="007642AC">
            <w:pPr>
              <w:widowControl/>
              <w:jc w:val="left"/>
              <w:rPr>
                <w:rFonts w:ascii="仿宋" w:eastAsia="仿宋" w:hAnsi="仿宋"/>
                <w:bCs/>
                <w:sz w:val="21"/>
                <w:szCs w:val="21"/>
              </w:rPr>
            </w:pPr>
          </w:p>
        </w:tc>
      </w:tr>
    </w:tbl>
    <w:p w14:paraId="5EA84C9A" w14:textId="77777777" w:rsidR="007642AC" w:rsidRDefault="007642AC"/>
    <w:sectPr w:rsidR="007642AC">
      <w:pgSz w:w="11906" w:h="16838"/>
      <w:pgMar w:top="1134" w:right="1418" w:bottom="1134" w:left="1418" w:header="851" w:footer="454"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lODc5Y2MyMmZiMzRlNDdlODBlZmFkOTFhNDcwYjIifQ=="/>
  </w:docVars>
  <w:rsids>
    <w:rsidRoot w:val="0AE32D0C"/>
    <w:rsid w:val="000703B8"/>
    <w:rsid w:val="00177333"/>
    <w:rsid w:val="002D1061"/>
    <w:rsid w:val="00372B72"/>
    <w:rsid w:val="004B5A3E"/>
    <w:rsid w:val="007642AC"/>
    <w:rsid w:val="00D529C8"/>
    <w:rsid w:val="00F16F11"/>
    <w:rsid w:val="0AE32D0C"/>
    <w:rsid w:val="175A6EDF"/>
    <w:rsid w:val="1BB05AD7"/>
    <w:rsid w:val="1EEF22CE"/>
    <w:rsid w:val="1F7A2683"/>
    <w:rsid w:val="21032A4B"/>
    <w:rsid w:val="21BF3E1B"/>
    <w:rsid w:val="23A75A11"/>
    <w:rsid w:val="29B41E5E"/>
    <w:rsid w:val="2BDE17C5"/>
    <w:rsid w:val="32F817DC"/>
    <w:rsid w:val="4AF018C8"/>
    <w:rsid w:val="50C32C89"/>
    <w:rsid w:val="544467E1"/>
    <w:rsid w:val="550F5041"/>
    <w:rsid w:val="5C9238ED"/>
    <w:rsid w:val="64873285"/>
    <w:rsid w:val="6F990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5C23F6-31DC-4D30-B3F2-8F44F200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customStyle="1" w:styleId="TableText">
    <w:name w:val="Table Text"/>
    <w:basedOn w:val="a"/>
    <w:semiHidden/>
    <w:qFormat/>
    <w:rPr>
      <w:rFonts w:ascii="宋体" w:hAnsi="宋体" w:cs="宋体"/>
      <w:sz w:val="24"/>
      <w:szCs w:val="24"/>
      <w:lang w:eastAsia="en-US"/>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1995</Words>
  <Characters>2035</Characters>
  <Application>Microsoft Office Word</Application>
  <DocSecurity>0</DocSecurity>
  <Lines>185</Lines>
  <Paragraphs>175</Paragraphs>
  <ScaleCrop>false</ScaleCrop>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天佑 景</cp:lastModifiedBy>
  <cp:revision>7</cp:revision>
  <dcterms:created xsi:type="dcterms:W3CDTF">2023-05-06T03:14:00Z</dcterms:created>
  <dcterms:modified xsi:type="dcterms:W3CDTF">2025-06-18T06:30:00Z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A75A0A92A1E340DF92B5A0E9BE1A5182_13</vt:lpwstr>
  </property>
  <property fmtid="{D5CDD505-2E9C-101B-9397-08002B2CF9AE}" pid="4" name="KSOTemplateDocerSaveRecord">
    <vt:lpwstr>eyJoZGlkIjoiOTBhZTE4ZTdhOWViZjExODBlMTU4YWI0ODFlYWU5MTkiLCJ1c2VySWQiOiI0NDAzNDA2NTQifQ==</vt:lpwstr>
  </property>
</Properties>
</file>