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E5AF" w14:textId="77777777" w:rsidR="00D81BBD" w:rsidRPr="00FB54D5" w:rsidRDefault="00C94FE3">
      <w:pPr>
        <w:spacing w:beforeLines="50" w:before="156" w:afterLines="50" w:after="156" w:line="480" w:lineRule="exact"/>
        <w:ind w:left="558" w:hangingChars="155" w:hanging="558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r w:rsidRPr="00FB54D5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工商管理学院ESG投资与管理微专业</w:t>
      </w:r>
    </w:p>
    <w:p w14:paraId="1EDE05CE" w14:textId="2AB1232B" w:rsidR="0048594A" w:rsidRPr="00FB54D5" w:rsidRDefault="00C94FE3">
      <w:pPr>
        <w:spacing w:beforeLines="50" w:before="156" w:afterLines="50" w:after="156" w:line="480" w:lineRule="exact"/>
        <w:ind w:left="558" w:hangingChars="155" w:hanging="558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 w:rsidRPr="00FB54D5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人才培养方案</w:t>
      </w:r>
    </w:p>
    <w:p w14:paraId="556D4546" w14:textId="77777777" w:rsidR="0048594A" w:rsidRPr="00FB54D5" w:rsidRDefault="00000000" w:rsidP="00D81BBD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rFonts w:ascii="黑体" w:eastAsia="黑体" w:hAnsi="黑体" w:cs="黑体" w:hint="eastAsia"/>
          <w:bCs/>
          <w:sz w:val="28"/>
          <w:szCs w:val="28"/>
        </w:rPr>
        <w:t>一、专业培养目标</w:t>
      </w:r>
    </w:p>
    <w:p w14:paraId="46A6D3B6" w14:textId="594327AB" w:rsidR="00D81BBD" w:rsidRPr="00FB54D5" w:rsidRDefault="00D81BBD" w:rsidP="00EC3AD1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ESG投资与管理</w:t>
      </w:r>
      <w:proofErr w:type="gramStart"/>
      <w:r w:rsidRPr="00FB54D5">
        <w:rPr>
          <w:rFonts w:ascii="仿宋" w:eastAsia="仿宋" w:hAnsi="仿宋" w:hint="eastAsia"/>
          <w:bCs/>
          <w:sz w:val="24"/>
          <w:szCs w:val="24"/>
        </w:rPr>
        <w:t>微专业</w:t>
      </w:r>
      <w:proofErr w:type="gramEnd"/>
      <w:r w:rsidRPr="00FB54D5">
        <w:rPr>
          <w:rFonts w:ascii="仿宋" w:eastAsia="仿宋" w:hAnsi="仿宋" w:hint="eastAsia"/>
          <w:bCs/>
          <w:sz w:val="24"/>
          <w:szCs w:val="24"/>
        </w:rPr>
        <w:t>定位于</w:t>
      </w:r>
      <w:r w:rsidR="00823CED" w:rsidRPr="00FB54D5">
        <w:rPr>
          <w:rFonts w:ascii="仿宋" w:eastAsia="仿宋" w:hAnsi="仿宋" w:hint="eastAsia"/>
          <w:bCs/>
          <w:sz w:val="24"/>
          <w:szCs w:val="24"/>
        </w:rPr>
        <w:t>培养具备现代</w:t>
      </w:r>
      <w:r w:rsidR="00823CED" w:rsidRPr="00FB54D5">
        <w:rPr>
          <w:rFonts w:ascii="仿宋" w:eastAsia="仿宋" w:hAnsi="仿宋"/>
          <w:bCs/>
          <w:sz w:val="24"/>
          <w:szCs w:val="24"/>
        </w:rPr>
        <w:t>ESG</w:t>
      </w:r>
      <w:r w:rsidR="00823CED" w:rsidRPr="00FB54D5">
        <w:rPr>
          <w:rFonts w:ascii="仿宋" w:eastAsia="仿宋" w:hAnsi="仿宋" w:hint="eastAsia"/>
          <w:bCs/>
          <w:sz w:val="24"/>
          <w:szCs w:val="24"/>
        </w:rPr>
        <w:t>投资与管理知识、具有运用</w:t>
      </w:r>
      <w:proofErr w:type="gramStart"/>
      <w:r w:rsidR="00823CED" w:rsidRPr="00FB54D5">
        <w:rPr>
          <w:rFonts w:ascii="仿宋" w:eastAsia="仿宋" w:hAnsi="仿宋" w:hint="eastAsia"/>
          <w:bCs/>
          <w:sz w:val="24"/>
          <w:szCs w:val="24"/>
        </w:rPr>
        <w:t>数智化工具</w:t>
      </w:r>
      <w:proofErr w:type="gramEnd"/>
      <w:r w:rsidR="00823CED" w:rsidRPr="00FB54D5">
        <w:rPr>
          <w:rFonts w:ascii="仿宋" w:eastAsia="仿宋" w:hAnsi="仿宋" w:hint="eastAsia"/>
          <w:bCs/>
          <w:sz w:val="24"/>
          <w:szCs w:val="24"/>
        </w:rPr>
        <w:t>从事</w:t>
      </w:r>
      <w:r w:rsidR="00823CED" w:rsidRPr="00FB54D5">
        <w:rPr>
          <w:rFonts w:ascii="仿宋" w:eastAsia="仿宋" w:hAnsi="仿宋"/>
          <w:bCs/>
          <w:sz w:val="24"/>
          <w:szCs w:val="24"/>
        </w:rPr>
        <w:t>ESG</w:t>
      </w:r>
      <w:r w:rsidR="00823CED" w:rsidRPr="00FB54D5">
        <w:rPr>
          <w:rFonts w:ascii="仿宋" w:eastAsia="仿宋" w:hAnsi="仿宋" w:hint="eastAsia"/>
          <w:bCs/>
          <w:sz w:val="24"/>
          <w:szCs w:val="24"/>
        </w:rPr>
        <w:t>投资与管理能力、胜任支撑经济高质量发展</w:t>
      </w:r>
      <w:r w:rsidR="00EC3AD1" w:rsidRPr="00FB54D5">
        <w:rPr>
          <w:rFonts w:ascii="仿宋" w:eastAsia="仿宋" w:hAnsi="仿宋" w:hint="eastAsia"/>
          <w:bCs/>
          <w:sz w:val="24"/>
          <w:szCs w:val="24"/>
        </w:rPr>
        <w:t>工作</w:t>
      </w:r>
      <w:r w:rsidR="00823CED" w:rsidRPr="00FB54D5">
        <w:rPr>
          <w:rFonts w:ascii="仿宋" w:eastAsia="仿宋" w:hAnsi="仿宋" w:hint="eastAsia"/>
          <w:bCs/>
          <w:sz w:val="24"/>
          <w:szCs w:val="24"/>
        </w:rPr>
        <w:t>的高素质、</w:t>
      </w:r>
      <w:proofErr w:type="gramStart"/>
      <w:r w:rsidR="00823CED" w:rsidRPr="00FB54D5">
        <w:rPr>
          <w:rFonts w:ascii="仿宋" w:eastAsia="仿宋" w:hAnsi="仿宋" w:hint="eastAsia"/>
          <w:bCs/>
          <w:sz w:val="24"/>
          <w:szCs w:val="24"/>
        </w:rPr>
        <w:t>数智化</w:t>
      </w:r>
      <w:proofErr w:type="gramEnd"/>
      <w:r w:rsidR="00823CED" w:rsidRPr="00FB54D5">
        <w:rPr>
          <w:rFonts w:ascii="仿宋" w:eastAsia="仿宋" w:hAnsi="仿宋"/>
          <w:bCs/>
          <w:sz w:val="24"/>
          <w:szCs w:val="24"/>
        </w:rPr>
        <w:t>ESG</w:t>
      </w:r>
      <w:r w:rsidR="00823CED" w:rsidRPr="00FB54D5">
        <w:rPr>
          <w:rFonts w:ascii="仿宋" w:eastAsia="仿宋" w:hAnsi="仿宋" w:hint="eastAsia"/>
          <w:bCs/>
          <w:sz w:val="24"/>
          <w:szCs w:val="24"/>
        </w:rPr>
        <w:t>人才</w:t>
      </w:r>
      <w:r w:rsidR="00EC3AD1" w:rsidRPr="00FB54D5">
        <w:rPr>
          <w:rFonts w:ascii="仿宋" w:eastAsia="仿宋" w:hAnsi="仿宋" w:hint="eastAsia"/>
          <w:bCs/>
          <w:sz w:val="24"/>
          <w:szCs w:val="24"/>
        </w:rPr>
        <w:t>。</w:t>
      </w:r>
      <w:r w:rsidRPr="00FB54D5">
        <w:rPr>
          <w:rFonts w:ascii="仿宋" w:eastAsia="仿宋" w:hAnsi="仿宋" w:hint="eastAsia"/>
          <w:bCs/>
          <w:sz w:val="24"/>
          <w:szCs w:val="24"/>
        </w:rPr>
        <w:t>可具体细化为以下三方面的培养目标：</w:t>
      </w:r>
    </w:p>
    <w:p w14:paraId="0914D126" w14:textId="0FA10791" w:rsidR="00D81BBD" w:rsidRPr="00FB54D5" w:rsidRDefault="00D81BBD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（1）培养具备扎实ESG投资与管理能力</w:t>
      </w:r>
      <w:proofErr w:type="gramStart"/>
      <w:r w:rsidRPr="00FB54D5">
        <w:rPr>
          <w:rFonts w:ascii="仿宋" w:eastAsia="仿宋" w:hAnsi="仿宋" w:hint="eastAsia"/>
          <w:bCs/>
          <w:sz w:val="24"/>
          <w:szCs w:val="24"/>
        </w:rPr>
        <w:t>的</w:t>
      </w:r>
      <w:r w:rsidR="00EC3AD1" w:rsidRPr="00FB54D5">
        <w:rPr>
          <w:rFonts w:ascii="仿宋" w:eastAsia="仿宋" w:hAnsi="仿宋" w:hint="eastAsia"/>
          <w:bCs/>
          <w:sz w:val="24"/>
          <w:szCs w:val="24"/>
        </w:rPr>
        <w:t>数智化</w:t>
      </w:r>
      <w:proofErr w:type="gramEnd"/>
      <w:r w:rsidRPr="00FB54D5">
        <w:rPr>
          <w:rFonts w:ascii="仿宋" w:eastAsia="仿宋" w:hAnsi="仿宋" w:hint="eastAsia"/>
          <w:bCs/>
          <w:sz w:val="24"/>
          <w:szCs w:val="24"/>
        </w:rPr>
        <w:t>应用型人才。让学生系统掌握ESG投资与管理方向的基础理论、专业知识和基本方法，具备承担ESG投资与管理及相关工作的能力；</w:t>
      </w:r>
    </w:p>
    <w:p w14:paraId="7EA86515" w14:textId="77777777" w:rsidR="00D81BBD" w:rsidRPr="00FB54D5" w:rsidRDefault="00D81BBD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（2）培养具备现代ESG投资与管理知识同时兼具金融、管理、ESG知识的复合型人才。依托工商管理学院的优势师资，有目的地设置ESG投资与管理方向课程，注重推高学生的交叉学科思维，培养高层次、高视野的ESG投资管理人才；</w:t>
      </w:r>
    </w:p>
    <w:p w14:paraId="5C07693E" w14:textId="1D3AE55F" w:rsidR="0048594A" w:rsidRPr="00FB54D5" w:rsidRDefault="00D81BBD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（3）培养学生创新创业能力。坚持案例教学与理论教学相结合，最大程度地保证理论联系实践、着重培养和锻炼学生应用理论工具的能力，加强对学生实践能力和创新能力的培养。</w:t>
      </w:r>
    </w:p>
    <w:p w14:paraId="235D4F0F" w14:textId="77777777" w:rsidR="0048594A" w:rsidRPr="00FB54D5" w:rsidRDefault="00000000" w:rsidP="00D81BBD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rFonts w:ascii="黑体" w:eastAsia="黑体" w:hAnsi="黑体" w:cs="黑体" w:hint="eastAsia"/>
          <w:bCs/>
          <w:sz w:val="28"/>
          <w:szCs w:val="28"/>
        </w:rPr>
        <w:t>二、毕业要求</w:t>
      </w:r>
    </w:p>
    <w:p w14:paraId="1EFAD91A" w14:textId="4E237567" w:rsidR="00CB1D17" w:rsidRPr="00FB54D5" w:rsidRDefault="00CB1D17" w:rsidP="00F50D2F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1.系统掌握ESG投资与管理的基本理论与方法，掌握ESG投资的规律和特点，掌握ESG管理的原理和方法，</w:t>
      </w:r>
      <w:proofErr w:type="gramStart"/>
      <w:r w:rsidR="00F50D2F" w:rsidRPr="00FB54D5">
        <w:rPr>
          <w:rFonts w:ascii="仿宋" w:eastAsia="仿宋" w:hAnsi="仿宋" w:hint="eastAsia"/>
          <w:bCs/>
          <w:sz w:val="24"/>
          <w:szCs w:val="24"/>
        </w:rPr>
        <w:t>理解数智化</w:t>
      </w:r>
      <w:proofErr w:type="gramEnd"/>
      <w:r w:rsidR="00F50D2F" w:rsidRPr="00FB54D5">
        <w:rPr>
          <w:rFonts w:ascii="仿宋" w:eastAsia="仿宋" w:hAnsi="仿宋" w:hint="eastAsia"/>
          <w:bCs/>
          <w:sz w:val="24"/>
          <w:szCs w:val="24"/>
        </w:rPr>
        <w:t>在ESG投资与管理中的应用，</w:t>
      </w:r>
      <w:r w:rsidRPr="00FB54D5">
        <w:rPr>
          <w:rFonts w:ascii="仿宋" w:eastAsia="仿宋" w:hAnsi="仿宋" w:hint="eastAsia"/>
          <w:bCs/>
          <w:sz w:val="24"/>
          <w:szCs w:val="24"/>
        </w:rPr>
        <w:t>具备从事ESG投资与管理相关工作的知识储备和理论素养，提升ESG投资与管理理论水平；</w:t>
      </w:r>
    </w:p>
    <w:p w14:paraId="18678CA5" w14:textId="2AD0E4AE" w:rsidR="00CB1D17" w:rsidRPr="00FB54D5" w:rsidRDefault="00CB1D17" w:rsidP="00F50D2F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2. 系统掌握ESG投资与管理的工具和技能，具备ESG投资分析与实操能力以及企业ESG管理与实践能力，能够将所学知识用于解释、分析和评价ESG投资与管理实践中的具体现象和问题，</w:t>
      </w:r>
      <w:r w:rsidR="00F50D2F" w:rsidRPr="00FB54D5">
        <w:rPr>
          <w:rFonts w:ascii="仿宋" w:eastAsia="仿宋" w:hAnsi="仿宋" w:hint="eastAsia"/>
          <w:bCs/>
          <w:sz w:val="24"/>
          <w:szCs w:val="24"/>
        </w:rPr>
        <w:t>并</w:t>
      </w:r>
      <w:proofErr w:type="gramStart"/>
      <w:r w:rsidR="00F50D2F" w:rsidRPr="00FB54D5">
        <w:rPr>
          <w:rFonts w:ascii="仿宋" w:eastAsia="仿宋" w:hAnsi="仿宋" w:hint="eastAsia"/>
          <w:bCs/>
          <w:sz w:val="24"/>
          <w:szCs w:val="24"/>
        </w:rPr>
        <w:t>与数智化</w:t>
      </w:r>
      <w:proofErr w:type="gramEnd"/>
      <w:r w:rsidR="00F50D2F" w:rsidRPr="00FB54D5">
        <w:rPr>
          <w:rFonts w:ascii="仿宋" w:eastAsia="仿宋" w:hAnsi="仿宋" w:hint="eastAsia"/>
          <w:bCs/>
          <w:sz w:val="24"/>
          <w:szCs w:val="24"/>
        </w:rPr>
        <w:t>分析工具有机结合，在此基础上</w:t>
      </w:r>
      <w:r w:rsidRPr="00FB54D5">
        <w:rPr>
          <w:rFonts w:ascii="仿宋" w:eastAsia="仿宋" w:hAnsi="仿宋" w:hint="eastAsia"/>
          <w:bCs/>
          <w:sz w:val="24"/>
          <w:szCs w:val="24"/>
        </w:rPr>
        <w:t>提出相应对策和建议、并形成解决方案，提升ESG投资与管理实践能力；</w:t>
      </w:r>
    </w:p>
    <w:p w14:paraId="578B5362" w14:textId="77777777" w:rsidR="00CB1D17" w:rsidRPr="00FB54D5" w:rsidRDefault="00CB1D17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3. 系统掌握ESG投资与管理这一新兴专业与金融学、投资学、财务管理等传统专业之间的关系，能够将ESG投资与管理知识与其他学科或课程知识融会贯通，运用学科思维、应用交叉学科知识、使用交叉学科工具分析和解决现实中的ESG投资与管理问题；</w:t>
      </w:r>
    </w:p>
    <w:p w14:paraId="4DAEBCA1" w14:textId="170AAE58" w:rsidR="0048594A" w:rsidRPr="00FB54D5" w:rsidRDefault="00CB1D17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bCs/>
          <w:sz w:val="24"/>
          <w:szCs w:val="24"/>
        </w:rPr>
        <w:t>4. 团队协作精神得到提升，人文素养和科学精神得到加强，能够在本学科及多学科团队活动中发挥个人能力，并能与其他成员进行协调合作，能够在本专业领域实践活动中理解并遵守职业道德和职业规范。</w:t>
      </w:r>
    </w:p>
    <w:p w14:paraId="43873F95" w14:textId="77777777" w:rsidR="0048594A" w:rsidRPr="00FB54D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rFonts w:ascii="黑体" w:eastAsia="黑体" w:hAnsi="黑体" w:cs="黑体" w:hint="eastAsia"/>
          <w:bCs/>
          <w:sz w:val="28"/>
          <w:szCs w:val="28"/>
        </w:rPr>
        <w:lastRenderedPageBreak/>
        <w:t>三、招生对象与条件</w:t>
      </w:r>
    </w:p>
    <w:p w14:paraId="4B414251" w14:textId="43783ECC" w:rsidR="00F163E6" w:rsidRDefault="00CB1D17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color w:val="000000" w:themeColor="text1"/>
          <w:sz w:val="24"/>
          <w:szCs w:val="24"/>
        </w:rPr>
      </w:pP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ESG投资与管理</w:t>
      </w:r>
      <w:proofErr w:type="gramStart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 w:rsidR="00F163E6">
        <w:rPr>
          <w:rFonts w:ascii="仿宋" w:eastAsia="仿宋" w:hAnsi="仿宋" w:hint="eastAsia"/>
          <w:color w:val="000000" w:themeColor="text1"/>
          <w:sz w:val="24"/>
          <w:szCs w:val="24"/>
        </w:rPr>
        <w:t>的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招生对象为</w:t>
      </w:r>
      <w:r w:rsidR="00F163E6">
        <w:rPr>
          <w:rFonts w:ascii="仿宋" w:eastAsia="仿宋" w:hAnsi="仿宋" w:hint="eastAsia"/>
          <w:color w:val="000000" w:themeColor="text1"/>
          <w:sz w:val="24"/>
          <w:szCs w:val="24"/>
        </w:rPr>
        <w:t>全校</w:t>
      </w:r>
      <w:r w:rsidR="005409E2">
        <w:rPr>
          <w:rFonts w:ascii="仿宋" w:eastAsia="仿宋" w:hAnsi="仿宋" w:hint="eastAsia"/>
          <w:color w:val="000000" w:themeColor="text1"/>
          <w:sz w:val="24"/>
          <w:szCs w:val="24"/>
        </w:rPr>
        <w:t>2023级和2024级本科生</w:t>
      </w:r>
      <w:r w:rsidR="00F163E6">
        <w:rPr>
          <w:rFonts w:ascii="仿宋" w:eastAsia="仿宋" w:hAnsi="仿宋" w:hint="eastAsia"/>
          <w:color w:val="000000" w:themeColor="text1"/>
          <w:sz w:val="24"/>
          <w:szCs w:val="24"/>
        </w:rPr>
        <w:t>，</w:t>
      </w:r>
      <w:r w:rsidR="00F163E6" w:rsidRPr="00762423">
        <w:rPr>
          <w:rFonts w:ascii="仿宋" w:eastAsia="仿宋" w:hAnsi="仿宋" w:hint="eastAsia"/>
          <w:b/>
          <w:bCs/>
          <w:color w:val="000000" w:themeColor="text1"/>
          <w:sz w:val="24"/>
          <w:szCs w:val="24"/>
        </w:rPr>
        <w:t>其中，工商管理学院2023级工商管理（ESG投资与管理）班和2024级拟分流进入工商管理（ESG投资与管理）班的学生除外。</w:t>
      </w:r>
    </w:p>
    <w:p w14:paraId="369F21D4" w14:textId="1BD274E7" w:rsidR="0048594A" w:rsidRPr="00FB54D5" w:rsidRDefault="00CB1D17" w:rsidP="00CB1D17">
      <w:pPr>
        <w:widowControl/>
        <w:spacing w:line="360" w:lineRule="auto"/>
        <w:ind w:firstLineChars="200" w:firstLine="480"/>
        <w:rPr>
          <w:rFonts w:ascii="仿宋" w:eastAsia="仿宋" w:hAnsi="仿宋" w:hint="eastAsia"/>
          <w:color w:val="000000" w:themeColor="text1"/>
          <w:sz w:val="24"/>
          <w:szCs w:val="24"/>
        </w:rPr>
      </w:pP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修读ESG投资与管理</w:t>
      </w:r>
      <w:proofErr w:type="gramStart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的本科生需要完成管理学、经济学原理、财务管理学、金融学、投资学等先修课程的学习和考核。</w:t>
      </w:r>
    </w:p>
    <w:p w14:paraId="11E18EAC" w14:textId="77777777" w:rsidR="0048594A" w:rsidRPr="00FB54D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rFonts w:ascii="黑体" w:eastAsia="黑体" w:hAnsi="黑体" w:cs="黑体" w:hint="eastAsia"/>
          <w:bCs/>
          <w:sz w:val="28"/>
          <w:szCs w:val="28"/>
        </w:rPr>
        <w:t>四、学分与证书</w:t>
      </w:r>
    </w:p>
    <w:p w14:paraId="1D27288B" w14:textId="5A275741" w:rsidR="007D4886" w:rsidRPr="00FB54D5" w:rsidRDefault="00D2442C" w:rsidP="007D4886">
      <w:pPr>
        <w:widowControl/>
        <w:spacing w:line="360" w:lineRule="auto"/>
        <w:ind w:firstLineChars="200" w:firstLine="480"/>
        <w:rPr>
          <w:rFonts w:ascii="仿宋" w:eastAsia="仿宋" w:hAnsi="仿宋" w:hint="eastAsia"/>
          <w:color w:val="000000" w:themeColor="text1"/>
          <w:sz w:val="24"/>
          <w:szCs w:val="24"/>
        </w:rPr>
      </w:pP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ESG投资与管理</w:t>
      </w:r>
      <w:proofErr w:type="gramStart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的学制为2个学期。核心课程共计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8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门，共1</w:t>
      </w:r>
      <w:r w:rsidRPr="00FB54D5">
        <w:rPr>
          <w:rFonts w:ascii="仿宋" w:eastAsia="仿宋" w:hAnsi="仿宋"/>
          <w:color w:val="000000" w:themeColor="text1"/>
          <w:sz w:val="24"/>
          <w:szCs w:val="24"/>
        </w:rPr>
        <w:t>6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学分，分别为：ESG理论与实践（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2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学分）、ESG投资理论与实践（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2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学分）、ESG</w:t>
      </w:r>
      <w:r w:rsidR="00FB135F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数字化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战略（2学分）、ESG报告与信息披露管理（2学分）、企业ESG管理（2学分）、气候风险</w:t>
      </w:r>
      <w:r w:rsidR="00FB135F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智能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管理（2学分）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、</w:t>
      </w:r>
      <w:r w:rsidR="00BC7A37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绿色</w:t>
      </w:r>
      <w:proofErr w:type="gramStart"/>
      <w:r w:rsidR="00BC7A37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金融数智化</w:t>
      </w:r>
      <w:proofErr w:type="gramEnd"/>
      <w:r w:rsidR="00BC7A37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分析（2学分）、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ESG</w:t>
      </w:r>
      <w:r w:rsidR="0083708D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产教融合实践</w:t>
      </w:r>
      <w:r w:rsidR="00363F1A"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（2学分）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。</w:t>
      </w:r>
    </w:p>
    <w:p w14:paraId="24B87E35" w14:textId="45DBA5BC" w:rsidR="0073411D" w:rsidRPr="00FB54D5" w:rsidRDefault="0073411D" w:rsidP="0073411D">
      <w:pPr>
        <w:widowControl/>
        <w:spacing w:line="360" w:lineRule="auto"/>
        <w:jc w:val="center"/>
        <w:rPr>
          <w:rFonts w:ascii="仿宋" w:eastAsia="仿宋" w:hAnsi="仿宋" w:hint="eastAsia"/>
          <w:color w:val="000000" w:themeColor="text1"/>
          <w:sz w:val="24"/>
          <w:szCs w:val="24"/>
        </w:rPr>
      </w:pPr>
    </w:p>
    <w:p w14:paraId="18E31913" w14:textId="4C51465E" w:rsidR="00FB135F" w:rsidRPr="00FB54D5" w:rsidRDefault="00FB135F" w:rsidP="0073411D">
      <w:pPr>
        <w:widowControl/>
        <w:spacing w:line="360" w:lineRule="auto"/>
        <w:jc w:val="center"/>
        <w:rPr>
          <w:rFonts w:ascii="仿宋" w:eastAsia="仿宋" w:hAnsi="仿宋" w:hint="eastAsia"/>
          <w:color w:val="000000" w:themeColor="text1"/>
          <w:sz w:val="24"/>
          <w:szCs w:val="24"/>
        </w:rPr>
      </w:pPr>
      <w:r w:rsidRPr="00FB54D5">
        <w:rPr>
          <w:rFonts w:ascii="仿宋" w:eastAsia="仿宋" w:hAnsi="仿宋"/>
          <w:noProof/>
          <w:color w:val="000000" w:themeColor="text1"/>
          <w:sz w:val="24"/>
          <w:szCs w:val="24"/>
        </w:rPr>
        <w:drawing>
          <wp:inline distT="0" distB="0" distL="0" distR="0" wp14:anchorId="1510FCDA" wp14:editId="6A0E68E9">
            <wp:extent cx="5690382" cy="2156921"/>
            <wp:effectExtent l="0" t="0" r="5715" b="0"/>
            <wp:docPr id="4803539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187" cy="218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F379AD" w14:textId="68FDF7FA" w:rsidR="007D4886" w:rsidRPr="00FB54D5" w:rsidRDefault="007D4886" w:rsidP="007D4886">
      <w:pPr>
        <w:widowControl/>
        <w:spacing w:afterLines="50" w:after="156" w:line="360" w:lineRule="auto"/>
        <w:jc w:val="center"/>
        <w:rPr>
          <w:rFonts w:ascii="仿宋" w:eastAsia="仿宋" w:hAnsi="仿宋" w:hint="eastAsia"/>
          <w:color w:val="000000" w:themeColor="text1"/>
          <w:sz w:val="22"/>
          <w:szCs w:val="22"/>
        </w:rPr>
      </w:pPr>
      <w:r w:rsidRPr="00FB54D5">
        <w:rPr>
          <w:rFonts w:ascii="仿宋" w:eastAsia="仿宋" w:hAnsi="仿宋" w:hint="eastAsia"/>
          <w:color w:val="000000" w:themeColor="text1"/>
          <w:sz w:val="22"/>
          <w:szCs w:val="22"/>
        </w:rPr>
        <w:t>图1</w:t>
      </w:r>
      <w:r w:rsidRPr="00FB54D5">
        <w:rPr>
          <w:rFonts w:ascii="仿宋" w:eastAsia="仿宋" w:hAnsi="仿宋"/>
          <w:color w:val="000000" w:themeColor="text1"/>
          <w:sz w:val="22"/>
          <w:szCs w:val="22"/>
        </w:rPr>
        <w:t xml:space="preserve"> </w:t>
      </w:r>
      <w:r w:rsidRPr="00FB54D5">
        <w:rPr>
          <w:rFonts w:ascii="仿宋" w:eastAsia="仿宋" w:hAnsi="仿宋" w:hint="eastAsia"/>
          <w:color w:val="000000" w:themeColor="text1"/>
          <w:sz w:val="22"/>
          <w:szCs w:val="22"/>
        </w:rPr>
        <w:t>ESG投资与管理</w:t>
      </w:r>
      <w:proofErr w:type="gramStart"/>
      <w:r w:rsidRPr="00FB54D5">
        <w:rPr>
          <w:rFonts w:ascii="仿宋" w:eastAsia="仿宋" w:hAnsi="仿宋" w:hint="eastAsia"/>
          <w:color w:val="000000" w:themeColor="text1"/>
          <w:sz w:val="22"/>
          <w:szCs w:val="22"/>
        </w:rPr>
        <w:t>微专业</w:t>
      </w:r>
      <w:proofErr w:type="gramEnd"/>
      <w:r w:rsidRPr="00FB54D5">
        <w:rPr>
          <w:rFonts w:ascii="仿宋" w:eastAsia="仿宋" w:hAnsi="仿宋" w:hint="eastAsia"/>
          <w:color w:val="000000" w:themeColor="text1"/>
          <w:sz w:val="22"/>
          <w:szCs w:val="22"/>
        </w:rPr>
        <w:t>课程体系</w:t>
      </w:r>
    </w:p>
    <w:p w14:paraId="77E28DEC" w14:textId="29E55191" w:rsidR="007D4886" w:rsidRPr="00FB54D5" w:rsidRDefault="001E7CEE" w:rsidP="007D4886">
      <w:pPr>
        <w:widowControl/>
        <w:spacing w:line="360" w:lineRule="auto"/>
        <w:ind w:firstLineChars="200" w:firstLine="480"/>
        <w:rPr>
          <w:rFonts w:ascii="仿宋" w:eastAsia="仿宋" w:hAnsi="仿宋" w:hint="eastAsia"/>
          <w:color w:val="000000" w:themeColor="text1"/>
          <w:sz w:val="24"/>
          <w:szCs w:val="24"/>
        </w:rPr>
      </w:pP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学生进行课程考核将形成单列成绩单，计入学生学业档案。</w:t>
      </w:r>
      <w:r w:rsidRPr="00FB54D5">
        <w:rPr>
          <w:rFonts w:ascii="仿宋" w:eastAsia="仿宋" w:hAnsi="仿宋"/>
          <w:color w:val="000000" w:themeColor="text1"/>
          <w:sz w:val="24"/>
          <w:szCs w:val="24"/>
        </w:rPr>
        <w:t>修满规定</w:t>
      </w:r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课程并成绩合格的学生将获得ESG投资与管理</w:t>
      </w:r>
      <w:proofErr w:type="gramStart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微专业</w:t>
      </w:r>
      <w:proofErr w:type="gramEnd"/>
      <w:r w:rsidRPr="00FB54D5">
        <w:rPr>
          <w:rFonts w:ascii="仿宋" w:eastAsia="仿宋" w:hAnsi="仿宋" w:hint="eastAsia"/>
          <w:color w:val="000000" w:themeColor="text1"/>
          <w:sz w:val="24"/>
          <w:szCs w:val="24"/>
        </w:rPr>
        <w:t>证书。</w:t>
      </w:r>
    </w:p>
    <w:p w14:paraId="00E24BC0" w14:textId="4CFF8D8A" w:rsidR="00B51BA5" w:rsidRPr="00FB54D5" w:rsidRDefault="00B51BA5" w:rsidP="00CB1D17">
      <w:pPr>
        <w:widowControl/>
        <w:spacing w:line="360" w:lineRule="auto"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/>
          <w:bCs/>
          <w:sz w:val="24"/>
          <w:szCs w:val="24"/>
        </w:rPr>
        <w:br w:type="page"/>
      </w:r>
    </w:p>
    <w:p w14:paraId="2F04CE11" w14:textId="77777777" w:rsidR="0048594A" w:rsidRPr="00FB54D5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rFonts w:ascii="黑体" w:eastAsia="黑体" w:hAnsi="黑体" w:cs="黑体" w:hint="eastAsia"/>
          <w:bCs/>
          <w:sz w:val="28"/>
          <w:szCs w:val="28"/>
        </w:rPr>
        <w:lastRenderedPageBreak/>
        <w:t>五、课程设置</w:t>
      </w:r>
    </w:p>
    <w:p w14:paraId="66623B30" w14:textId="56FEA23F" w:rsidR="0048594A" w:rsidRPr="00FB54D5" w:rsidRDefault="00E82629">
      <w:pPr>
        <w:widowControl/>
        <w:spacing w:after="156" w:line="0" w:lineRule="atLeast"/>
        <w:jc w:val="center"/>
        <w:rPr>
          <w:rFonts w:ascii="黑体" w:eastAsia="黑体" w:hAnsi="黑体" w:cs="黑体" w:hint="eastAsia"/>
          <w:bCs/>
          <w:sz w:val="28"/>
          <w:szCs w:val="28"/>
        </w:rPr>
      </w:pPr>
      <w:bookmarkStart w:id="0" w:name="_Hlk164263039"/>
      <w:r w:rsidRPr="00FB54D5">
        <w:rPr>
          <w:rFonts w:ascii="黑体" w:eastAsia="黑体" w:hAnsi="黑体" w:cs="黑体" w:hint="eastAsia"/>
          <w:bCs/>
          <w:sz w:val="28"/>
          <w:szCs w:val="28"/>
        </w:rPr>
        <w:t>ESG投资与管理</w:t>
      </w:r>
      <w:proofErr w:type="gramStart"/>
      <w:r w:rsidRPr="00FB54D5">
        <w:rPr>
          <w:rFonts w:ascii="黑体" w:eastAsia="黑体" w:hAnsi="黑体" w:cs="黑体" w:hint="eastAsia"/>
          <w:bCs/>
          <w:sz w:val="28"/>
          <w:szCs w:val="28"/>
        </w:rPr>
        <w:t>微专业</w:t>
      </w:r>
      <w:proofErr w:type="gramEnd"/>
      <w:r w:rsidRPr="00FB54D5">
        <w:rPr>
          <w:rFonts w:ascii="黑体" w:eastAsia="黑体" w:hAnsi="黑体" w:cs="黑体" w:hint="eastAsia"/>
          <w:bCs/>
          <w:sz w:val="28"/>
          <w:szCs w:val="28"/>
        </w:rPr>
        <w:t>课程设置及教学进程计划表</w:t>
      </w: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1"/>
        <w:gridCol w:w="1243"/>
        <w:gridCol w:w="425"/>
        <w:gridCol w:w="567"/>
        <w:gridCol w:w="781"/>
        <w:gridCol w:w="567"/>
        <w:gridCol w:w="567"/>
        <w:gridCol w:w="567"/>
        <w:gridCol w:w="567"/>
        <w:gridCol w:w="567"/>
        <w:gridCol w:w="989"/>
        <w:gridCol w:w="1065"/>
        <w:gridCol w:w="494"/>
      </w:tblGrid>
      <w:tr w:rsidR="00466175" w:rsidRPr="00FB54D5" w14:paraId="550484DB" w14:textId="77777777" w:rsidTr="00466175">
        <w:trPr>
          <w:trHeight w:val="454"/>
          <w:jc w:val="center"/>
        </w:trPr>
        <w:tc>
          <w:tcPr>
            <w:tcW w:w="2231" w:type="dxa"/>
            <w:vMerge w:val="restart"/>
            <w:vAlign w:val="center"/>
          </w:tcPr>
          <w:bookmarkEnd w:id="0"/>
          <w:p w14:paraId="134D9A74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课程名称</w:t>
            </w:r>
          </w:p>
        </w:tc>
        <w:tc>
          <w:tcPr>
            <w:tcW w:w="1243" w:type="dxa"/>
            <w:vMerge w:val="restart"/>
            <w:vAlign w:val="center"/>
          </w:tcPr>
          <w:p w14:paraId="232B00F3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课程代码</w:t>
            </w:r>
          </w:p>
        </w:tc>
        <w:tc>
          <w:tcPr>
            <w:tcW w:w="425" w:type="dxa"/>
            <w:vMerge w:val="restart"/>
            <w:vAlign w:val="center"/>
          </w:tcPr>
          <w:p w14:paraId="43D03595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567" w:type="dxa"/>
            <w:vMerge w:val="restart"/>
            <w:vAlign w:val="center"/>
          </w:tcPr>
          <w:p w14:paraId="25A45DA9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bCs/>
                <w:sz w:val="18"/>
                <w:szCs w:val="18"/>
              </w:rPr>
              <w:t>总学时</w:t>
            </w:r>
          </w:p>
        </w:tc>
        <w:tc>
          <w:tcPr>
            <w:tcW w:w="781" w:type="dxa"/>
            <w:vMerge w:val="restart"/>
            <w:vAlign w:val="center"/>
          </w:tcPr>
          <w:p w14:paraId="2DA9EFA4" w14:textId="41FB9801" w:rsidR="00466175" w:rsidRPr="00FB54D5" w:rsidRDefault="00466175" w:rsidP="00466175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授课教师</w:t>
            </w:r>
          </w:p>
        </w:tc>
        <w:tc>
          <w:tcPr>
            <w:tcW w:w="2268" w:type="dxa"/>
            <w:gridSpan w:val="4"/>
            <w:vAlign w:val="center"/>
          </w:tcPr>
          <w:p w14:paraId="6B5B38D9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466175">
              <w:rPr>
                <w:rFonts w:ascii="黑体" w:eastAsia="黑体" w:hAnsi="黑体"/>
                <w:bCs/>
                <w:spacing w:val="70"/>
                <w:sz w:val="18"/>
                <w:szCs w:val="18"/>
                <w:fitText w:val="840" w:id="-696929023"/>
              </w:rPr>
              <w:t>学时</w:t>
            </w:r>
            <w:r w:rsidRPr="00466175">
              <w:rPr>
                <w:rFonts w:ascii="黑体" w:eastAsia="黑体" w:hAnsi="黑体" w:hint="eastAsia"/>
                <w:bCs/>
                <w:spacing w:val="10"/>
                <w:sz w:val="18"/>
                <w:szCs w:val="18"/>
                <w:fitText w:val="840" w:id="-696929023"/>
              </w:rPr>
              <w:t>分</w:t>
            </w: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 xml:space="preserve"> 配</w:t>
            </w:r>
          </w:p>
        </w:tc>
        <w:tc>
          <w:tcPr>
            <w:tcW w:w="567" w:type="dxa"/>
            <w:vMerge w:val="restart"/>
            <w:vAlign w:val="center"/>
          </w:tcPr>
          <w:p w14:paraId="25A0C79B" w14:textId="77777777" w:rsidR="00466175" w:rsidRPr="00FB54D5" w:rsidRDefault="00466175" w:rsidP="00BB756A">
            <w:pPr>
              <w:widowControl/>
              <w:snapToGrid w:val="0"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考核</w:t>
            </w:r>
          </w:p>
          <w:p w14:paraId="24165901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方式</w:t>
            </w:r>
          </w:p>
        </w:tc>
        <w:tc>
          <w:tcPr>
            <w:tcW w:w="989" w:type="dxa"/>
            <w:vMerge w:val="restart"/>
            <w:vAlign w:val="center"/>
          </w:tcPr>
          <w:p w14:paraId="08615116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  <w:t>开课单位</w:t>
            </w:r>
          </w:p>
        </w:tc>
        <w:tc>
          <w:tcPr>
            <w:tcW w:w="1065" w:type="dxa"/>
            <w:vMerge w:val="restart"/>
            <w:vAlign w:val="center"/>
          </w:tcPr>
          <w:p w14:paraId="187064AE" w14:textId="77777777" w:rsidR="00466175" w:rsidRPr="00FB54D5" w:rsidRDefault="00466175" w:rsidP="00BB756A">
            <w:pPr>
              <w:widowControl/>
              <w:snapToGrid w:val="0"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bCs/>
                <w:sz w:val="18"/>
                <w:szCs w:val="18"/>
              </w:rPr>
              <w:t>开课</w:t>
            </w: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学期、</w:t>
            </w:r>
          </w:p>
          <w:p w14:paraId="2AD316B8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时间</w:t>
            </w:r>
          </w:p>
        </w:tc>
        <w:tc>
          <w:tcPr>
            <w:tcW w:w="494" w:type="dxa"/>
            <w:vMerge w:val="restart"/>
            <w:vAlign w:val="center"/>
          </w:tcPr>
          <w:p w14:paraId="7F1B4A76" w14:textId="77777777" w:rsidR="00466175" w:rsidRPr="00FB54D5" w:rsidRDefault="00466175" w:rsidP="00BB756A">
            <w:pPr>
              <w:widowControl/>
              <w:snapToGrid w:val="0"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具体上课周数</w:t>
            </w:r>
          </w:p>
        </w:tc>
      </w:tr>
      <w:tr w:rsidR="00466175" w:rsidRPr="00FB54D5" w14:paraId="713DE209" w14:textId="77777777" w:rsidTr="00466175">
        <w:trPr>
          <w:trHeight w:val="454"/>
          <w:jc w:val="center"/>
        </w:trPr>
        <w:tc>
          <w:tcPr>
            <w:tcW w:w="2231" w:type="dxa"/>
            <w:vMerge/>
            <w:vAlign w:val="center"/>
          </w:tcPr>
          <w:p w14:paraId="2969A64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14:paraId="551D51D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0D90FE6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243DB4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781" w:type="dxa"/>
            <w:vMerge/>
          </w:tcPr>
          <w:p w14:paraId="003EE0EC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74779D5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理论</w:t>
            </w:r>
          </w:p>
        </w:tc>
        <w:tc>
          <w:tcPr>
            <w:tcW w:w="567" w:type="dxa"/>
            <w:vAlign w:val="center"/>
          </w:tcPr>
          <w:p w14:paraId="5C199E6A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实践</w:t>
            </w:r>
          </w:p>
        </w:tc>
        <w:tc>
          <w:tcPr>
            <w:tcW w:w="567" w:type="dxa"/>
            <w:vAlign w:val="center"/>
          </w:tcPr>
          <w:p w14:paraId="5DDF2161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线上学时</w:t>
            </w:r>
          </w:p>
        </w:tc>
        <w:tc>
          <w:tcPr>
            <w:tcW w:w="567" w:type="dxa"/>
            <w:vAlign w:val="center"/>
          </w:tcPr>
          <w:p w14:paraId="54107FB2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b/>
                <w:spacing w:val="2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线下学时</w:t>
            </w:r>
          </w:p>
        </w:tc>
        <w:tc>
          <w:tcPr>
            <w:tcW w:w="567" w:type="dxa"/>
            <w:vMerge/>
            <w:vAlign w:val="center"/>
          </w:tcPr>
          <w:p w14:paraId="17FFBA5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989" w:type="dxa"/>
            <w:vMerge/>
            <w:vAlign w:val="center"/>
          </w:tcPr>
          <w:p w14:paraId="489D4E7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1065" w:type="dxa"/>
            <w:vMerge/>
            <w:vAlign w:val="center"/>
          </w:tcPr>
          <w:p w14:paraId="55D6F18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494" w:type="dxa"/>
            <w:vMerge/>
          </w:tcPr>
          <w:p w14:paraId="31FDD0BE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</w:tr>
      <w:tr w:rsidR="00466175" w:rsidRPr="00FB54D5" w14:paraId="413CF022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6E156B61" w14:textId="77777777" w:rsidR="00466175" w:rsidRPr="00FB54D5" w:rsidRDefault="00466175" w:rsidP="00BB756A">
            <w:pP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理论与实践</w:t>
            </w:r>
          </w:p>
          <w:p w14:paraId="46C548AC" w14:textId="77777777" w:rsidR="00466175" w:rsidRPr="00FB54D5" w:rsidRDefault="00466175" w:rsidP="00BB756A">
            <w:pPr>
              <w:rPr>
                <w:rFonts w:ascii="仿宋" w:eastAsia="仿宋" w:hAnsi="仿宋" w:hint="eastAsia"/>
                <w:b/>
                <w:bCs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sz w:val="18"/>
                <w:szCs w:val="18"/>
              </w:rPr>
              <w:t>ESG Theory and Practice</w:t>
            </w:r>
          </w:p>
        </w:tc>
        <w:tc>
          <w:tcPr>
            <w:tcW w:w="1243" w:type="dxa"/>
            <w:vAlign w:val="center"/>
          </w:tcPr>
          <w:p w14:paraId="1981BFA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V0224012B</w:t>
            </w:r>
          </w:p>
        </w:tc>
        <w:tc>
          <w:tcPr>
            <w:tcW w:w="425" w:type="dxa"/>
            <w:vAlign w:val="center"/>
          </w:tcPr>
          <w:p w14:paraId="21A178D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AA521B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3C0BA5B3" w14:textId="738F761B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王行健</w:t>
            </w:r>
          </w:p>
        </w:tc>
        <w:tc>
          <w:tcPr>
            <w:tcW w:w="567" w:type="dxa"/>
            <w:vAlign w:val="center"/>
          </w:tcPr>
          <w:p w14:paraId="25E0A8A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6B30CB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0DFAF67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FCCDE2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172A81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46A6C621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4346EADA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-1</w:t>
            </w:r>
          </w:p>
          <w:p w14:paraId="070BC90B" w14:textId="570F34BA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周六上午1-4节</w:t>
            </w:r>
          </w:p>
        </w:tc>
        <w:tc>
          <w:tcPr>
            <w:tcW w:w="494" w:type="dxa"/>
          </w:tcPr>
          <w:p w14:paraId="6A2C516F" w14:textId="3DA6C8BF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1-8</w:t>
            </w:r>
          </w:p>
        </w:tc>
      </w:tr>
      <w:tr w:rsidR="00466175" w:rsidRPr="00FB54D5" w14:paraId="2E766096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59D515E7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投资理论与实践</w:t>
            </w:r>
          </w:p>
          <w:p w14:paraId="5EB618AE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 Investment Theory and Practice</w:t>
            </w:r>
          </w:p>
        </w:tc>
        <w:tc>
          <w:tcPr>
            <w:tcW w:w="1243" w:type="dxa"/>
            <w:vAlign w:val="center"/>
          </w:tcPr>
          <w:p w14:paraId="0ADDBC4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V0224022B</w:t>
            </w:r>
          </w:p>
        </w:tc>
        <w:tc>
          <w:tcPr>
            <w:tcW w:w="425" w:type="dxa"/>
            <w:vAlign w:val="center"/>
          </w:tcPr>
          <w:p w14:paraId="778CCD4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6FACF72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5993BBC9" w14:textId="1F5F1DB3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乔紫薇</w:t>
            </w:r>
          </w:p>
        </w:tc>
        <w:tc>
          <w:tcPr>
            <w:tcW w:w="567" w:type="dxa"/>
            <w:vAlign w:val="center"/>
          </w:tcPr>
          <w:p w14:paraId="1397F5A6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7B79CCC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A07207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2E764835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0ABCE935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0C4B427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32B08FE8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-2</w:t>
            </w:r>
          </w:p>
          <w:p w14:paraId="3E418927" w14:textId="3A8D8A61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周六上午1-4节</w:t>
            </w:r>
          </w:p>
        </w:tc>
        <w:tc>
          <w:tcPr>
            <w:tcW w:w="494" w:type="dxa"/>
          </w:tcPr>
          <w:p w14:paraId="7337604D" w14:textId="3B1FD8D1" w:rsidR="00466175" w:rsidRPr="00FB54D5" w:rsidRDefault="00435C84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9-16</w:t>
            </w:r>
          </w:p>
        </w:tc>
      </w:tr>
      <w:tr w:rsidR="00466175" w:rsidRPr="00FB54D5" w14:paraId="227F6586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0E6422A7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数字化战略</w:t>
            </w:r>
          </w:p>
          <w:p w14:paraId="32921113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ESG 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Digital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Strategy</w:t>
            </w:r>
          </w:p>
        </w:tc>
        <w:tc>
          <w:tcPr>
            <w:tcW w:w="1243" w:type="dxa"/>
            <w:vAlign w:val="center"/>
          </w:tcPr>
          <w:p w14:paraId="28A5C66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V0224032B</w:t>
            </w:r>
          </w:p>
        </w:tc>
        <w:tc>
          <w:tcPr>
            <w:tcW w:w="425" w:type="dxa"/>
            <w:vAlign w:val="center"/>
          </w:tcPr>
          <w:p w14:paraId="7AB9B96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20AB00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2F0F25DA" w14:textId="12CC6DCD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王应欢</w:t>
            </w:r>
            <w:proofErr w:type="gramEnd"/>
          </w:p>
        </w:tc>
        <w:tc>
          <w:tcPr>
            <w:tcW w:w="567" w:type="dxa"/>
            <w:vAlign w:val="center"/>
          </w:tcPr>
          <w:p w14:paraId="732BEFF6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77A1B36A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16CDDE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1888914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A3AEFE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5212E60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6F7F270D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-2</w:t>
            </w:r>
          </w:p>
          <w:p w14:paraId="3A0EBA30" w14:textId="50B33529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周六下午6-9节</w:t>
            </w:r>
          </w:p>
        </w:tc>
        <w:tc>
          <w:tcPr>
            <w:tcW w:w="494" w:type="dxa"/>
          </w:tcPr>
          <w:p w14:paraId="620986A5" w14:textId="37D47404" w:rsidR="00466175" w:rsidRPr="00FB54D5" w:rsidRDefault="00435C84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1-8</w:t>
            </w:r>
          </w:p>
        </w:tc>
      </w:tr>
      <w:tr w:rsidR="00466175" w:rsidRPr="00FB54D5" w14:paraId="3C715828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0C6689A5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报告与信息披露管理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ESG Reporting and 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I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nformation Disclosure Management</w:t>
            </w:r>
          </w:p>
        </w:tc>
        <w:tc>
          <w:tcPr>
            <w:tcW w:w="1243" w:type="dxa"/>
            <w:vAlign w:val="center"/>
          </w:tcPr>
          <w:p w14:paraId="54BB28C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V0224042B</w:t>
            </w:r>
          </w:p>
        </w:tc>
        <w:tc>
          <w:tcPr>
            <w:tcW w:w="425" w:type="dxa"/>
            <w:vAlign w:val="center"/>
          </w:tcPr>
          <w:p w14:paraId="2B17353A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461C5FE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25F56589" w14:textId="111B11FB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张晓庆</w:t>
            </w:r>
          </w:p>
        </w:tc>
        <w:tc>
          <w:tcPr>
            <w:tcW w:w="567" w:type="dxa"/>
            <w:vAlign w:val="center"/>
          </w:tcPr>
          <w:p w14:paraId="5244FE7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3BE27F2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B3410C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1774321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5FB2F5D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6F8F5176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54A0521A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-1</w:t>
            </w:r>
          </w:p>
          <w:p w14:paraId="683519D2" w14:textId="257A877E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周六下午6-9节</w:t>
            </w:r>
          </w:p>
        </w:tc>
        <w:tc>
          <w:tcPr>
            <w:tcW w:w="494" w:type="dxa"/>
          </w:tcPr>
          <w:p w14:paraId="582C742A" w14:textId="4F476998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1-8</w:t>
            </w:r>
          </w:p>
        </w:tc>
      </w:tr>
      <w:tr w:rsidR="00466175" w:rsidRPr="00FB54D5" w14:paraId="1251C747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634FDBC2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企业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管理</w:t>
            </w:r>
          </w:p>
          <w:p w14:paraId="09AE8A88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Corporate ESG Management</w:t>
            </w:r>
          </w:p>
        </w:tc>
        <w:tc>
          <w:tcPr>
            <w:tcW w:w="1243" w:type="dxa"/>
            <w:vAlign w:val="center"/>
          </w:tcPr>
          <w:p w14:paraId="080529D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V0224052B</w:t>
            </w:r>
          </w:p>
        </w:tc>
        <w:tc>
          <w:tcPr>
            <w:tcW w:w="425" w:type="dxa"/>
            <w:vAlign w:val="center"/>
          </w:tcPr>
          <w:p w14:paraId="4923244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6433855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278F5ABC" w14:textId="0543603B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张</w:t>
            </w:r>
            <w:proofErr w:type="gramStart"/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567" w:type="dxa"/>
            <w:vAlign w:val="center"/>
          </w:tcPr>
          <w:p w14:paraId="4198A90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1898428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243C6971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3CA5E35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30EC7BC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2911564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28A8539E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-2</w:t>
            </w:r>
          </w:p>
          <w:p w14:paraId="1928D477" w14:textId="38CDA0B5" w:rsidR="00435C84" w:rsidRPr="00FB54D5" w:rsidRDefault="00435C84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周六上午1-4节</w:t>
            </w:r>
          </w:p>
        </w:tc>
        <w:tc>
          <w:tcPr>
            <w:tcW w:w="494" w:type="dxa"/>
          </w:tcPr>
          <w:p w14:paraId="4E6BA2CF" w14:textId="503176E5" w:rsidR="00466175" w:rsidRPr="00FB54D5" w:rsidRDefault="00435C84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1-8</w:t>
            </w:r>
          </w:p>
        </w:tc>
      </w:tr>
      <w:tr w:rsidR="00466175" w:rsidRPr="00FB54D5" w14:paraId="328751E6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6656ADBB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气候风险智能管理</w:t>
            </w:r>
          </w:p>
          <w:p w14:paraId="2653CEF4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Climate Risk 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 xml:space="preserve">Smart 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1243" w:type="dxa"/>
            <w:vAlign w:val="center"/>
          </w:tcPr>
          <w:p w14:paraId="78372F51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V0224062B</w:t>
            </w:r>
          </w:p>
        </w:tc>
        <w:tc>
          <w:tcPr>
            <w:tcW w:w="425" w:type="dxa"/>
            <w:vAlign w:val="center"/>
          </w:tcPr>
          <w:p w14:paraId="781F3DF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6199438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4FC1B784" w14:textId="7EB18641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邵开愚</w:t>
            </w:r>
          </w:p>
        </w:tc>
        <w:tc>
          <w:tcPr>
            <w:tcW w:w="567" w:type="dxa"/>
            <w:vAlign w:val="center"/>
          </w:tcPr>
          <w:p w14:paraId="55AA126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88FDB6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41E08875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DDFD78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6F5C4CE0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42FE30B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0E88AA1E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-1</w:t>
            </w:r>
          </w:p>
          <w:p w14:paraId="2CA01315" w14:textId="2BF2F8F3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周六下午6-9节</w:t>
            </w:r>
          </w:p>
        </w:tc>
        <w:tc>
          <w:tcPr>
            <w:tcW w:w="494" w:type="dxa"/>
          </w:tcPr>
          <w:p w14:paraId="1408D95C" w14:textId="4B41A50D" w:rsidR="00466175" w:rsidRPr="00FB54D5" w:rsidRDefault="00E954D9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9</w:t>
            </w:r>
            <w:r w:rsidR="0046617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16</w:t>
            </w:r>
          </w:p>
        </w:tc>
      </w:tr>
      <w:tr w:rsidR="00466175" w:rsidRPr="00FB54D5" w14:paraId="74D4A920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0C5DB63B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绿色</w:t>
            </w:r>
            <w:proofErr w:type="gramStart"/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金融数智化</w:t>
            </w:r>
            <w:proofErr w:type="gramEnd"/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分析</w:t>
            </w:r>
          </w:p>
          <w:p w14:paraId="0224A877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Digital and Intelligent Analysis of</w:t>
            </w: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>Green Finance</w:t>
            </w:r>
          </w:p>
        </w:tc>
        <w:tc>
          <w:tcPr>
            <w:tcW w:w="1243" w:type="dxa"/>
            <w:vAlign w:val="center"/>
          </w:tcPr>
          <w:p w14:paraId="535F851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V0224072B</w:t>
            </w:r>
          </w:p>
        </w:tc>
        <w:tc>
          <w:tcPr>
            <w:tcW w:w="425" w:type="dxa"/>
            <w:vAlign w:val="center"/>
          </w:tcPr>
          <w:p w14:paraId="1281B57A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51BC5F1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vAlign w:val="center"/>
          </w:tcPr>
          <w:p w14:paraId="65856000" w14:textId="0C9FEEBF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陈玉琳</w:t>
            </w:r>
          </w:p>
        </w:tc>
        <w:tc>
          <w:tcPr>
            <w:tcW w:w="567" w:type="dxa"/>
            <w:vAlign w:val="center"/>
          </w:tcPr>
          <w:p w14:paraId="48C0DBB5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29B9845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4D16284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613707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2CDCB0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7BF206C1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7038011D" w14:textId="77777777" w:rsidR="0046617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-1</w:t>
            </w:r>
          </w:p>
          <w:p w14:paraId="0EFA240F" w14:textId="09A9C868" w:rsidR="00E954D9" w:rsidRPr="00FB54D5" w:rsidRDefault="00E954D9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周六上午</w:t>
            </w:r>
            <w:r w:rsidR="0089537F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  <w:r w:rsidR="0089537F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4</w:t>
            </w: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节</w:t>
            </w:r>
          </w:p>
        </w:tc>
        <w:tc>
          <w:tcPr>
            <w:tcW w:w="494" w:type="dxa"/>
          </w:tcPr>
          <w:p w14:paraId="2D46165D" w14:textId="0B09C8AD" w:rsidR="00466175" w:rsidRPr="00FB54D5" w:rsidRDefault="00E954D9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9-16</w:t>
            </w:r>
          </w:p>
        </w:tc>
      </w:tr>
      <w:tr w:rsidR="00466175" w:rsidRPr="00FB54D5" w14:paraId="2224170B" w14:textId="77777777" w:rsidTr="00466175">
        <w:trPr>
          <w:trHeight w:val="454"/>
          <w:jc w:val="center"/>
        </w:trPr>
        <w:tc>
          <w:tcPr>
            <w:tcW w:w="2231" w:type="dxa"/>
            <w:shd w:val="clear" w:color="auto" w:fill="auto"/>
            <w:vAlign w:val="center"/>
          </w:tcPr>
          <w:p w14:paraId="1D692B6F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bookmarkStart w:id="1" w:name="_Hlk152912714"/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ESG产教融合实践</w:t>
            </w:r>
          </w:p>
          <w:bookmarkEnd w:id="1"/>
          <w:p w14:paraId="66B41012" w14:textId="77777777" w:rsidR="00466175" w:rsidRPr="00FB54D5" w:rsidRDefault="00466175" w:rsidP="00BB756A">
            <w:pPr>
              <w:widowControl/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仿宋" w:eastAsia="仿宋" w:hAnsi="仿宋"/>
                <w:b/>
                <w:bCs/>
                <w:color w:val="000000"/>
                <w:sz w:val="18"/>
                <w:szCs w:val="18"/>
              </w:rPr>
              <w:t xml:space="preserve"> Practice of Integration between Industry and Education</w:t>
            </w:r>
          </w:p>
        </w:tc>
        <w:tc>
          <w:tcPr>
            <w:tcW w:w="1243" w:type="dxa"/>
            <w:vAlign w:val="center"/>
          </w:tcPr>
          <w:p w14:paraId="24D97F12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BD44DE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V0224082B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6ECAB0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6A356A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058FDF61" w14:textId="66B142C8" w:rsidR="00466175" w:rsidRPr="00FB54D5" w:rsidRDefault="00466175" w:rsidP="00466175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张</w:t>
            </w:r>
            <w:proofErr w:type="gramStart"/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B7944B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64EC3FB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6C1737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784D44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3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5038EEC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989" w:type="dxa"/>
            <w:vAlign w:val="center"/>
          </w:tcPr>
          <w:p w14:paraId="332D80FE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工商管理学院</w:t>
            </w:r>
          </w:p>
        </w:tc>
        <w:tc>
          <w:tcPr>
            <w:tcW w:w="1065" w:type="dxa"/>
            <w:vAlign w:val="center"/>
          </w:tcPr>
          <w:p w14:paraId="73BA604B" w14:textId="4EB11EF4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2</w:t>
            </w:r>
            <w:r w:rsidRPr="00FB54D5">
              <w:rPr>
                <w:rFonts w:ascii="仿宋" w:eastAsia="仿宋" w:hAnsi="仿宋"/>
                <w:b/>
                <w:bCs/>
                <w:spacing w:val="20"/>
                <w:sz w:val="18"/>
                <w:szCs w:val="18"/>
              </w:rPr>
              <w:t>-2</w:t>
            </w:r>
          </w:p>
        </w:tc>
        <w:tc>
          <w:tcPr>
            <w:tcW w:w="494" w:type="dxa"/>
          </w:tcPr>
          <w:p w14:paraId="500D1D26" w14:textId="7FD45C4B" w:rsidR="00466175" w:rsidRPr="00FB54D5" w:rsidRDefault="00435C84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视学院对接情况</w:t>
            </w:r>
          </w:p>
        </w:tc>
      </w:tr>
      <w:tr w:rsidR="00466175" w:rsidRPr="00FB54D5" w14:paraId="3A9D198C" w14:textId="77777777" w:rsidTr="00466175">
        <w:trPr>
          <w:trHeight w:val="454"/>
          <w:jc w:val="center"/>
        </w:trPr>
        <w:tc>
          <w:tcPr>
            <w:tcW w:w="2231" w:type="dxa"/>
            <w:vAlign w:val="center"/>
          </w:tcPr>
          <w:p w14:paraId="5D94CB79" w14:textId="77777777" w:rsidR="00466175" w:rsidRPr="00FB54D5" w:rsidRDefault="00466175" w:rsidP="00BB756A">
            <w:pPr>
              <w:widowControl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sz w:val="18"/>
                <w:szCs w:val="18"/>
              </w:rPr>
              <w:t>合计</w:t>
            </w:r>
          </w:p>
        </w:tc>
        <w:tc>
          <w:tcPr>
            <w:tcW w:w="1243" w:type="dxa"/>
            <w:vAlign w:val="center"/>
          </w:tcPr>
          <w:p w14:paraId="304ECFE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914F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7837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AC3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214D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678E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919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955A58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256</w:t>
            </w:r>
          </w:p>
        </w:tc>
        <w:tc>
          <w:tcPr>
            <w:tcW w:w="567" w:type="dxa"/>
            <w:vAlign w:val="center"/>
          </w:tcPr>
          <w:p w14:paraId="3BB7D1EA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989" w:type="dxa"/>
            <w:vAlign w:val="center"/>
          </w:tcPr>
          <w:p w14:paraId="15FCBFB9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center"/>
          </w:tcPr>
          <w:p w14:paraId="1C53DB26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  <w:r w:rsidRPr="00FB54D5"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  <w:t>-</w:t>
            </w:r>
          </w:p>
        </w:tc>
        <w:tc>
          <w:tcPr>
            <w:tcW w:w="494" w:type="dxa"/>
          </w:tcPr>
          <w:p w14:paraId="580B0A75" w14:textId="77777777" w:rsidR="00466175" w:rsidRPr="00FB54D5" w:rsidRDefault="00466175" w:rsidP="00BB756A">
            <w:pPr>
              <w:widowControl/>
              <w:jc w:val="center"/>
              <w:rPr>
                <w:rFonts w:ascii="仿宋" w:eastAsia="仿宋" w:hAnsi="仿宋" w:hint="eastAsia"/>
                <w:b/>
                <w:bCs/>
                <w:spacing w:val="20"/>
                <w:sz w:val="18"/>
                <w:szCs w:val="18"/>
              </w:rPr>
            </w:pPr>
          </w:p>
        </w:tc>
      </w:tr>
    </w:tbl>
    <w:p w14:paraId="18A1D3F8" w14:textId="77777777" w:rsidR="00466175" w:rsidRDefault="00466175">
      <w:pPr>
        <w:widowControl/>
        <w:spacing w:line="360" w:lineRule="auto"/>
        <w:rPr>
          <w:bCs/>
          <w:sz w:val="24"/>
          <w:szCs w:val="24"/>
        </w:rPr>
      </w:pPr>
    </w:p>
    <w:p w14:paraId="1E9929A7" w14:textId="73297607" w:rsidR="0048594A" w:rsidRPr="00FB54D5" w:rsidRDefault="00000000">
      <w:pPr>
        <w:widowControl/>
        <w:spacing w:line="360" w:lineRule="auto"/>
        <w:rPr>
          <w:bCs/>
          <w:sz w:val="24"/>
          <w:szCs w:val="24"/>
        </w:rPr>
      </w:pPr>
      <w:r w:rsidRPr="00FB54D5">
        <w:rPr>
          <w:rFonts w:hint="eastAsia"/>
          <w:bCs/>
          <w:sz w:val="24"/>
          <w:szCs w:val="24"/>
        </w:rPr>
        <w:t>备注：</w:t>
      </w:r>
    </w:p>
    <w:p w14:paraId="74DF9C25" w14:textId="77777777" w:rsidR="0048594A" w:rsidRPr="00FB54D5" w:rsidRDefault="00000000" w:rsidP="008A4B1C">
      <w:pPr>
        <w:widowControl/>
        <w:rPr>
          <w:rFonts w:ascii="仿宋" w:eastAsia="仿宋" w:hAnsi="仿宋" w:hint="eastAsia"/>
          <w:sz w:val="24"/>
          <w:szCs w:val="24"/>
        </w:rPr>
      </w:pPr>
      <w:r w:rsidRPr="00FB54D5">
        <w:rPr>
          <w:rFonts w:ascii="仿宋" w:eastAsia="仿宋" w:hAnsi="仿宋" w:hint="eastAsia"/>
          <w:sz w:val="24"/>
          <w:szCs w:val="24"/>
        </w:rPr>
        <w:t>1.</w:t>
      </w:r>
      <w:r w:rsidRPr="00FB54D5">
        <w:rPr>
          <w:rFonts w:ascii="仿宋" w:eastAsia="仿宋" w:hAnsi="仿宋"/>
          <w:sz w:val="24"/>
          <w:szCs w:val="24"/>
        </w:rPr>
        <w:t xml:space="preserve"> </w:t>
      </w:r>
      <w:r w:rsidRPr="00FB54D5">
        <w:rPr>
          <w:rFonts w:ascii="仿宋" w:eastAsia="仿宋" w:hAnsi="仿宋" w:hint="eastAsia"/>
          <w:sz w:val="24"/>
          <w:szCs w:val="24"/>
        </w:rPr>
        <w:t>总学时=理论学时+实践学时（实践教学含实验和上机教学），总学时=线上学时+线下学时；</w:t>
      </w:r>
    </w:p>
    <w:p w14:paraId="41762549" w14:textId="77777777" w:rsidR="0048594A" w:rsidRPr="00FB54D5" w:rsidRDefault="00000000" w:rsidP="008A4B1C">
      <w:pPr>
        <w:widowControl/>
        <w:rPr>
          <w:rFonts w:ascii="仿宋" w:eastAsia="仿宋" w:hAnsi="仿宋" w:hint="eastAsia"/>
          <w:bCs/>
          <w:sz w:val="24"/>
          <w:szCs w:val="24"/>
        </w:rPr>
      </w:pPr>
      <w:r w:rsidRPr="00FB54D5">
        <w:rPr>
          <w:rFonts w:ascii="仿宋" w:eastAsia="仿宋" w:hAnsi="仿宋" w:hint="eastAsia"/>
          <w:sz w:val="24"/>
          <w:szCs w:val="24"/>
        </w:rPr>
        <w:lastRenderedPageBreak/>
        <w:t>2.</w:t>
      </w:r>
      <w:r w:rsidRPr="00FB54D5">
        <w:rPr>
          <w:rFonts w:ascii="仿宋" w:eastAsia="仿宋" w:hAnsi="仿宋"/>
          <w:sz w:val="24"/>
          <w:szCs w:val="24"/>
        </w:rPr>
        <w:t xml:space="preserve"> </w:t>
      </w:r>
      <w:r w:rsidRPr="00FB54D5">
        <w:rPr>
          <w:rFonts w:ascii="仿宋" w:eastAsia="仿宋" w:hAnsi="仿宋" w:hint="eastAsia"/>
          <w:sz w:val="24"/>
          <w:szCs w:val="24"/>
        </w:rPr>
        <w:t>课程代码由教务处统一编制；“开课学期”根据</w:t>
      </w:r>
      <w:r w:rsidRPr="00FB54D5">
        <w:rPr>
          <w:rFonts w:ascii="仿宋" w:eastAsia="仿宋" w:hAnsi="仿宋"/>
          <w:sz w:val="24"/>
          <w:szCs w:val="24"/>
        </w:rPr>
        <w:t>4</w:t>
      </w:r>
      <w:r w:rsidRPr="00FB54D5">
        <w:rPr>
          <w:rFonts w:ascii="仿宋" w:eastAsia="仿宋" w:hAnsi="仿宋" w:hint="eastAsia"/>
          <w:sz w:val="24"/>
          <w:szCs w:val="24"/>
        </w:rPr>
        <w:t>年制内实际开课学期填写1-1、1-2、2-1、2-2、3</w:t>
      </w:r>
      <w:r w:rsidRPr="00FB54D5">
        <w:rPr>
          <w:rFonts w:ascii="仿宋" w:eastAsia="仿宋" w:hAnsi="仿宋"/>
          <w:sz w:val="24"/>
          <w:szCs w:val="24"/>
        </w:rPr>
        <w:t>-1</w:t>
      </w:r>
      <w:r w:rsidRPr="00FB54D5">
        <w:rPr>
          <w:rFonts w:ascii="仿宋" w:eastAsia="仿宋" w:hAnsi="仿宋" w:hint="eastAsia"/>
          <w:sz w:val="24"/>
          <w:szCs w:val="24"/>
        </w:rPr>
        <w:t>、3</w:t>
      </w:r>
      <w:r w:rsidRPr="00FB54D5">
        <w:rPr>
          <w:rFonts w:ascii="仿宋" w:eastAsia="仿宋" w:hAnsi="仿宋"/>
          <w:sz w:val="24"/>
          <w:szCs w:val="24"/>
        </w:rPr>
        <w:t>-2</w:t>
      </w:r>
      <w:r w:rsidRPr="00FB54D5">
        <w:rPr>
          <w:rFonts w:ascii="仿宋" w:eastAsia="仿宋" w:hAnsi="仿宋" w:hint="eastAsia"/>
          <w:sz w:val="24"/>
          <w:szCs w:val="24"/>
        </w:rPr>
        <w:t>、4</w:t>
      </w:r>
      <w:r w:rsidRPr="00FB54D5">
        <w:rPr>
          <w:rFonts w:ascii="仿宋" w:eastAsia="仿宋" w:hAnsi="仿宋"/>
          <w:sz w:val="24"/>
          <w:szCs w:val="24"/>
        </w:rPr>
        <w:t>-1</w:t>
      </w:r>
      <w:r w:rsidRPr="00FB54D5">
        <w:rPr>
          <w:rFonts w:ascii="仿宋" w:eastAsia="仿宋" w:hAnsi="仿宋" w:hint="eastAsia"/>
          <w:sz w:val="24"/>
          <w:szCs w:val="24"/>
        </w:rPr>
        <w:t>、4</w:t>
      </w:r>
      <w:r w:rsidRPr="00FB54D5">
        <w:rPr>
          <w:rFonts w:ascii="仿宋" w:eastAsia="仿宋" w:hAnsi="仿宋"/>
          <w:sz w:val="24"/>
          <w:szCs w:val="24"/>
        </w:rPr>
        <w:t>-2</w:t>
      </w:r>
      <w:r w:rsidRPr="00FB54D5">
        <w:rPr>
          <w:rFonts w:ascii="仿宋" w:eastAsia="仿宋" w:hAnsi="仿宋" w:hint="eastAsia"/>
          <w:sz w:val="24"/>
          <w:szCs w:val="24"/>
        </w:rPr>
        <w:t>填写，“考核方式”填写考试、考查</w:t>
      </w:r>
      <w:r w:rsidRPr="00FB54D5">
        <w:rPr>
          <w:rFonts w:ascii="仿宋" w:eastAsia="仿宋" w:hAnsi="仿宋" w:cs="宋体" w:hint="eastAsia"/>
          <w:sz w:val="24"/>
          <w:szCs w:val="24"/>
        </w:rPr>
        <w:t>；</w:t>
      </w:r>
    </w:p>
    <w:p w14:paraId="6C814672" w14:textId="1245F64A" w:rsidR="0048594A" w:rsidRPr="00FB54D5" w:rsidRDefault="00000000" w:rsidP="007D4886">
      <w:pPr>
        <w:widowControl/>
        <w:rPr>
          <w:rFonts w:ascii="仿宋" w:eastAsia="仿宋" w:hAnsi="仿宋" w:hint="eastAsia"/>
          <w:sz w:val="24"/>
          <w:szCs w:val="24"/>
        </w:rPr>
      </w:pPr>
      <w:r w:rsidRPr="00FB54D5">
        <w:rPr>
          <w:rFonts w:ascii="仿宋" w:eastAsia="仿宋" w:hAnsi="仿宋" w:hint="eastAsia"/>
          <w:sz w:val="24"/>
          <w:szCs w:val="24"/>
        </w:rPr>
        <w:t>3.</w:t>
      </w:r>
      <w:r w:rsidRPr="00FB54D5">
        <w:rPr>
          <w:rFonts w:ascii="仿宋" w:eastAsia="仿宋" w:hAnsi="仿宋"/>
          <w:sz w:val="24"/>
          <w:szCs w:val="24"/>
        </w:rPr>
        <w:t xml:space="preserve"> </w:t>
      </w:r>
      <w:r w:rsidRPr="00FB54D5">
        <w:rPr>
          <w:rFonts w:ascii="仿宋" w:eastAsia="仿宋" w:hAnsi="仿宋" w:hint="eastAsia"/>
          <w:sz w:val="24"/>
          <w:szCs w:val="24"/>
        </w:rPr>
        <w:t>开课单位填写任课教师所在部门或单位。</w:t>
      </w:r>
    </w:p>
    <w:p w14:paraId="04A03F17" w14:textId="77777777" w:rsidR="007D4886" w:rsidRPr="00FB54D5" w:rsidRDefault="007D4886" w:rsidP="007D4886">
      <w:pPr>
        <w:widowControl/>
        <w:rPr>
          <w:rFonts w:ascii="仿宋" w:eastAsia="仿宋" w:hAnsi="仿宋" w:hint="eastAsia"/>
          <w:bCs/>
          <w:sz w:val="24"/>
          <w:szCs w:val="24"/>
        </w:rPr>
      </w:pPr>
    </w:p>
    <w:p w14:paraId="367876F4" w14:textId="77777777" w:rsidR="0048594A" w:rsidRPr="00FB54D5" w:rsidRDefault="00000000">
      <w:pPr>
        <w:widowControl/>
        <w:spacing w:line="360" w:lineRule="auto"/>
        <w:ind w:firstLineChars="187" w:firstLine="598"/>
        <w:jc w:val="left"/>
        <w:rPr>
          <w:rFonts w:ascii="黑体" w:eastAsia="黑体" w:hAnsi="黑体" w:cs="黑体" w:hint="eastAsia"/>
          <w:bCs/>
          <w:sz w:val="28"/>
          <w:szCs w:val="28"/>
        </w:rPr>
      </w:pPr>
      <w:r w:rsidRPr="00FB54D5">
        <w:rPr>
          <w:sz w:val="32"/>
        </w:rPr>
        <w:br w:type="page"/>
      </w:r>
      <w:r w:rsidRPr="00FB54D5">
        <w:rPr>
          <w:rFonts w:ascii="黑体" w:eastAsia="黑体" w:hAnsi="黑体" w:cs="黑体" w:hint="eastAsia"/>
          <w:bCs/>
          <w:sz w:val="28"/>
          <w:szCs w:val="28"/>
        </w:rPr>
        <w:lastRenderedPageBreak/>
        <w:t>六、课程简介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843"/>
        <w:gridCol w:w="6416"/>
      </w:tblGrid>
      <w:tr w:rsidR="0048594A" w:rsidRPr="00FB54D5" w14:paraId="20B959D4" w14:textId="77777777" w:rsidTr="00695B9D">
        <w:trPr>
          <w:cantSplit/>
          <w:trHeight w:val="512"/>
          <w:tblHeader/>
          <w:jc w:val="center"/>
        </w:trPr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14:paraId="100B6227" w14:textId="77777777" w:rsidR="0048594A" w:rsidRPr="00FB54D5" w:rsidRDefault="00000000">
            <w:pPr>
              <w:widowControl/>
              <w:jc w:val="center"/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</w:pPr>
            <w:r w:rsidRPr="00FB54D5"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FC11F34" w14:textId="77777777" w:rsidR="0048594A" w:rsidRPr="00FB54D5" w:rsidRDefault="00000000">
            <w:pPr>
              <w:widowControl/>
              <w:jc w:val="center"/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</w:pPr>
            <w:r w:rsidRPr="00FB54D5"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课程名称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6C7BC" w14:textId="77777777" w:rsidR="0048594A" w:rsidRPr="00FB54D5" w:rsidRDefault="00000000">
            <w:pPr>
              <w:widowControl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 w:rsidRPr="00FB54D5"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课程简介</w:t>
            </w:r>
          </w:p>
        </w:tc>
      </w:tr>
      <w:tr w:rsidR="003B1BBA" w:rsidRPr="00FB54D5" w14:paraId="711591D3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01B7EE64" w14:textId="77777777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82D848" w14:textId="77777777" w:rsidR="003B1BBA" w:rsidRPr="00FB54D5" w:rsidRDefault="003B1BBA" w:rsidP="003B1BBA">
            <w:pPr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sz w:val="18"/>
                <w:szCs w:val="18"/>
              </w:rPr>
              <w:t>ESG</w:t>
            </w:r>
            <w:r w:rsidRPr="00FB54D5">
              <w:rPr>
                <w:rFonts w:ascii="黑体" w:eastAsia="黑体" w:hAnsi="黑体" w:hint="eastAsia"/>
                <w:sz w:val="18"/>
                <w:szCs w:val="18"/>
              </w:rPr>
              <w:t>理论与实践</w:t>
            </w:r>
          </w:p>
          <w:p w14:paraId="084113AD" w14:textId="71B0334C" w:rsidR="003B1BBA" w:rsidRPr="00FB54D5" w:rsidRDefault="003B1BBA" w:rsidP="003B1BBA">
            <w:pPr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sz w:val="18"/>
                <w:szCs w:val="18"/>
              </w:rPr>
              <w:t>ESG Theory and Practice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433D7" w14:textId="7B6B3D23" w:rsidR="003B1BBA" w:rsidRPr="00FB54D5" w:rsidRDefault="003B1BBA" w:rsidP="003B1BBA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《ESG理论与实践》主要讲授ESG</w:t>
            </w:r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相关理论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、发展脉络、</w:t>
            </w:r>
            <w:r w:rsidR="004F769C">
              <w:rPr>
                <w:rFonts w:ascii="仿宋" w:eastAsia="仿宋" w:hAnsi="仿宋" w:hint="eastAsia"/>
                <w:bCs/>
                <w:sz w:val="21"/>
                <w:szCs w:val="21"/>
              </w:rPr>
              <w:t>主流观点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、驱动因素、现实案例、趋势挑战等内容。通过本门课程的教学，使学生了解ESG相关理论和方法，探索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双碳战略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下的ESG实践，拓展学生的知识体系和学科素养，培养和锻炼学生分析和处理现实ESG问题的思维方式与实践能力。教学过程中，采用课程教授、案例分析、小组讨论等多元化方式，为学生进一步学习ESG相关知识提供帮助，旨在培养学生的经济管理思维以及在ESG实践中的分析判断能力，提升学生的实际操作能力和ESG管理能力。</w:t>
            </w:r>
          </w:p>
        </w:tc>
      </w:tr>
      <w:tr w:rsidR="003B1BBA" w:rsidRPr="00FB54D5" w14:paraId="5B504A45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3DAE2C97" w14:textId="69B0D418" w:rsidR="003B1BBA" w:rsidRPr="00FB54D5" w:rsidRDefault="00766096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162AAA" w14:textId="77777777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投资理论与实践</w:t>
            </w:r>
          </w:p>
          <w:p w14:paraId="5DF16E4D" w14:textId="166F9526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 Investment Theory and Practice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9AB0" w14:textId="17F7BE65" w:rsidR="003B1BBA" w:rsidRPr="00FB54D5" w:rsidRDefault="003B1BBA" w:rsidP="003B1BBA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《ESG投资理论与实践》主要围绕着ESG投资展开，从企业ESG投资的基础概论入手，介绍了ESG投资的基本概念、</w:t>
            </w:r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投资策略、投资方法、ESG整合</w:t>
            </w:r>
            <w:proofErr w:type="gramStart"/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进投资</w:t>
            </w:r>
            <w:proofErr w:type="gramEnd"/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流程、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国内外市场上的ESG投资现状</w:t>
            </w:r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等。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通过本门课程的教学，使学生对ESG投资有全面的认知，培养学生运用所学知识分析和解决现实中ESG投资相关问题的能力。课程采用讲课为主，辅以学生参与讨论、案例展示的教学手段，使学生认识到ESG投资本的质是基于企业和社会可持续发展的长期价值投资，激发学生为我国经济可持续发展贡献力量的社会责任感与使命感。</w:t>
            </w:r>
          </w:p>
        </w:tc>
      </w:tr>
      <w:tr w:rsidR="003B1BBA" w:rsidRPr="00FB54D5" w14:paraId="239BB0BF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323E2E7B" w14:textId="1ED9B04E" w:rsidR="003B1BBA" w:rsidRPr="00FB54D5" w:rsidRDefault="005F319E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637BA8" w14:textId="708B85D5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 w:rsidR="00D96EC6"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数字化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战略</w:t>
            </w:r>
          </w:p>
          <w:p w14:paraId="1689F05D" w14:textId="35882E62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ESG </w:t>
            </w:r>
            <w:r w:rsidR="009442F5"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Digital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 </w:t>
            </w:r>
            <w:r w:rsidR="009442F5"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Strategy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6035C" w14:textId="72C8CAB1" w:rsidR="003B1BBA" w:rsidRPr="00FB54D5" w:rsidRDefault="003B1BBA" w:rsidP="003B1BBA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数字化战略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》阐述了ESG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，从数字化视角讨论ESG战略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规划与实施，在介绍ESG及ESG战略基本概念和理论基础的基础上，系统全面的讲解了ESG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战略环境分析、ESG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战略方案设计、ESG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战略规划的工具与方法、ESG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战略实施保障、ESG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战略实施及ESG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战略回顾与改进。通过本门课程的教学，使学生了解ESG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战略的基本要求、定位、特点及目标。课程采用讲课为主、辅以学生参与讨论、案例展示的教学手段，使学生掌握分析企业ESG的宏观环境和内部环境工具，掌握ESG战略规划的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工具，提升学生使用ESG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战略规划的方法进行ESG战略规划的能力，培养学生对ESG</w:t>
            </w:r>
            <w:r w:rsidR="00AB27FA"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数字化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战略和可持续发展的意识和责任感。</w:t>
            </w:r>
          </w:p>
        </w:tc>
      </w:tr>
      <w:tr w:rsidR="003B1BBA" w:rsidRPr="00FB54D5" w14:paraId="73EA58AA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26D85E70" w14:textId="55695822" w:rsidR="003B1BBA" w:rsidRPr="00FB54D5" w:rsidRDefault="005F319E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ABBA5D" w14:textId="691E3E35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报告与信息披露管理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 ESG Reporting and 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I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nformation Disclosure 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2552C" w14:textId="6D61D38F" w:rsidR="003B1BBA" w:rsidRPr="00FB54D5" w:rsidRDefault="003B1BBA" w:rsidP="003B1BBA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ESG报告与信息披露管理》课程的核心是为了让学生了解ESG报告的编制和ESG信息披露标准及评价方法。通过本门课程的教学，使学生掌握ESG报告的编制原则和编制流程；学习和掌握ESG报告涵盖的内容和编制的流程；掌握ESG关键议题的识别方法；熟悉利益相关者的概念并掌握与之沟通的方法；学习和掌握ESG报告的信息披露标准以及ESG评价方法；了解各个行业的ESG信息披露要求及侧重点。课程采用理论教学和经典案例讨论相结合的方式，让学生了解和掌握ESG信息披露相关理论、核心问题和解决方式，培养学生的可持续发展思维模式，帮助他们建构科学的发展观，实现立德树人的育人理念。</w:t>
            </w:r>
          </w:p>
        </w:tc>
      </w:tr>
      <w:tr w:rsidR="003B1BBA" w:rsidRPr="00FB54D5" w14:paraId="383AECA6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0058703E" w14:textId="1A4133CF" w:rsidR="003B1BBA" w:rsidRPr="00FB54D5" w:rsidRDefault="005F319E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639C6B" w14:textId="77777777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企业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管理</w:t>
            </w:r>
          </w:p>
          <w:p w14:paraId="5BD69F03" w14:textId="27748EDD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Corporate ESG 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185E8" w14:textId="43DBDC6F" w:rsidR="003B1BBA" w:rsidRPr="00FB54D5" w:rsidRDefault="003B1BBA" w:rsidP="00382E77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《企业ESG管理》</w:t>
            </w:r>
            <w:r w:rsidR="00382E77" w:rsidRPr="00382E77">
              <w:rPr>
                <w:rFonts w:ascii="仿宋" w:eastAsia="仿宋" w:hAnsi="仿宋" w:hint="eastAsia"/>
                <w:bCs/>
                <w:sz w:val="21"/>
                <w:szCs w:val="21"/>
              </w:rPr>
              <w:t>主要讲授企业ESG管理的基础知识和理论</w:t>
            </w:r>
            <w:r w:rsidR="00382E77">
              <w:rPr>
                <w:rFonts w:ascii="仿宋" w:eastAsia="仿宋" w:hAnsi="仿宋" w:hint="eastAsia"/>
                <w:bCs/>
                <w:sz w:val="21"/>
                <w:szCs w:val="21"/>
              </w:rPr>
              <w:t>、</w:t>
            </w:r>
            <w:r w:rsidR="00382E77" w:rsidRPr="00382E77">
              <w:rPr>
                <w:rFonts w:ascii="仿宋" w:eastAsia="仿宋" w:hAnsi="仿宋" w:hint="eastAsia"/>
                <w:bCs/>
                <w:sz w:val="21"/>
                <w:szCs w:val="21"/>
              </w:rPr>
              <w:t>企业业务ESG管理即ESG融入企业具体业务和职能的方法和路径</w:t>
            </w:r>
            <w:r w:rsidR="00382E77">
              <w:rPr>
                <w:rFonts w:ascii="仿宋" w:eastAsia="仿宋" w:hAnsi="仿宋" w:hint="eastAsia"/>
                <w:bCs/>
                <w:sz w:val="21"/>
                <w:szCs w:val="21"/>
              </w:rPr>
              <w:t>、</w:t>
            </w:r>
            <w:r w:rsidR="00382E77" w:rsidRPr="00382E77">
              <w:rPr>
                <w:rFonts w:ascii="仿宋" w:eastAsia="仿宋" w:hAnsi="仿宋" w:hint="eastAsia"/>
                <w:bCs/>
                <w:sz w:val="21"/>
                <w:szCs w:val="21"/>
              </w:rPr>
              <w:t>企业组织ESG管理即ESG融入各项组织管理的方法和路径</w:t>
            </w:r>
            <w:r w:rsidR="00382E77">
              <w:rPr>
                <w:rFonts w:ascii="仿宋" w:eastAsia="仿宋" w:hAnsi="仿宋" w:hint="eastAsia"/>
                <w:bCs/>
                <w:sz w:val="21"/>
                <w:szCs w:val="21"/>
              </w:rPr>
              <w:t>等内容。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通过本门课程的教学，使学生了解企业ESG管理的相关理论、手段和方法，探索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双碳战略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下的企业ESG管理实践。教学过程中，采用课程教授、案例分析、小组讨论等多元化方式，为学生进一步学习企业ESG管理相关知识提供帮助，旨在全面提升学生的ESG素养，培育学生分析和处理现实ESG问题的思维方式与实践能力，为国家输送高质量的ESG人才。</w:t>
            </w:r>
          </w:p>
        </w:tc>
      </w:tr>
      <w:tr w:rsidR="003B1BBA" w:rsidRPr="00FB54D5" w14:paraId="000B117E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47956E34" w14:textId="46166BAA" w:rsidR="003B1BBA" w:rsidRPr="00FB54D5" w:rsidRDefault="005F319E" w:rsidP="003B1BBA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BCB8E" w14:textId="398161D5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气候风险</w:t>
            </w:r>
            <w:r w:rsidR="005F319E"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智能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管理</w:t>
            </w:r>
          </w:p>
          <w:p w14:paraId="4AB188D2" w14:textId="01584AA9" w:rsidR="003B1BBA" w:rsidRPr="00FB54D5" w:rsidRDefault="003B1BBA" w:rsidP="003B1BBA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 xml:space="preserve">Climate Risk </w:t>
            </w:r>
            <w:r w:rsidR="00766096"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 xml:space="preserve">Smart 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Management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BCD2E" w14:textId="5028F74B" w:rsidR="003B1BBA" w:rsidRPr="00FB54D5" w:rsidRDefault="00766096" w:rsidP="003B1BBA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气候风险智能管理》从人类面临的气候危机入手，系统介绍气候风险发展的历史背景、基本概念和人类为此做出的努力，并重点阐述现代企业应对气候风险的实践机制，以及在应对气候变化的过程中人工智能能够起到的作用。通过本门课程的教学，引导学生探索我国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碳达峰碳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中和“1+N”政策体系之下企业面临的多样性气候风险，学习如何使用智能化手段正确应对管理气候风险，提高学生对气候风险认识。课程通过教师讲授、学生小组讨论以及案例展示等方式，使学生理解企业发展历程中气候风险意识从无到有、由浅入深的过程，掌握支撑和解释企业可持续发展的理论基础，了解企业气候风险管理实践与智能技术应用，进而掌握促进企业可持续发展的有效路径，全面提升学生参与全球气候和环境治理的基本素养和能力。</w:t>
            </w:r>
          </w:p>
        </w:tc>
      </w:tr>
      <w:tr w:rsidR="00766096" w:rsidRPr="00FB54D5" w14:paraId="29CBCD77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5BB490C5" w14:textId="0A961065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824EB4" w14:textId="77777777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绿色</w:t>
            </w:r>
            <w:proofErr w:type="gramStart"/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金融数智化</w:t>
            </w:r>
            <w:proofErr w:type="gramEnd"/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分析</w:t>
            </w:r>
          </w:p>
          <w:p w14:paraId="3922C403" w14:textId="6E1228F7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Digital and Intelligent Analysis of</w:t>
            </w: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 xml:space="preserve"> </w:t>
            </w: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Green Finance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676E4" w14:textId="49BA7E85" w:rsidR="00766096" w:rsidRPr="00FB54D5" w:rsidRDefault="00766096" w:rsidP="00766096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《绿色金融数智化分析》围绕绿色金融各板块的理论、政策、操作实务等展开，在介绍绿色金融基本概念和理论的基础上，系统全面地讲解绿色金融市场、碳金融、绿色金融科技等知识，并教授学生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运用数智化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手段进行绿色金融分析的方法。通过本门课程的教学，使学生了解绿色金融的定义和基本概念，认识到“双碳”背景下绿色金融对于企业、经济、社会的重要意义与价值。课程采用讲课为主、辅以学生参与讨论、案例展示的教学手段，培养和提高学生关于绿色金融理论与应用上的认识和技能，帮助学生掌握绿色金融领域的专业知识，提升学生解决绿色金融发展问题的能力和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运用数智化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手段分析绿色金融问题的技能，评估绿色金融的商业机会和可持续发展潜力。</w:t>
            </w:r>
          </w:p>
        </w:tc>
      </w:tr>
      <w:tr w:rsidR="00766096" w:rsidRPr="00FB54D5" w14:paraId="416A79A0" w14:textId="77777777" w:rsidTr="00695B9D">
        <w:trPr>
          <w:cantSplit/>
          <w:tblHeader/>
          <w:jc w:val="center"/>
        </w:trPr>
        <w:tc>
          <w:tcPr>
            <w:tcW w:w="891" w:type="dxa"/>
            <w:vAlign w:val="center"/>
          </w:tcPr>
          <w:p w14:paraId="336E675F" w14:textId="2CC8D661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7A05D6" w14:textId="3C5FE897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ESG产教融合实践</w:t>
            </w:r>
          </w:p>
          <w:p w14:paraId="2D807703" w14:textId="103E9EFD" w:rsidR="00766096" w:rsidRPr="00FB54D5" w:rsidRDefault="00766096" w:rsidP="00766096">
            <w:pPr>
              <w:widowControl/>
              <w:jc w:val="center"/>
              <w:rPr>
                <w:rFonts w:ascii="黑体" w:eastAsia="黑体" w:hAnsi="黑体" w:hint="eastAsia"/>
                <w:color w:val="000000"/>
                <w:sz w:val="18"/>
                <w:szCs w:val="18"/>
              </w:rPr>
            </w:pPr>
            <w:r w:rsidRPr="00FB54D5">
              <w:rPr>
                <w:rFonts w:ascii="黑体" w:eastAsia="黑体" w:hAnsi="黑体"/>
                <w:color w:val="000000"/>
                <w:sz w:val="18"/>
                <w:szCs w:val="18"/>
              </w:rPr>
              <w:t>ESG Practice of Integration between Industry and Education</w:t>
            </w:r>
          </w:p>
        </w:tc>
        <w:tc>
          <w:tcPr>
            <w:tcW w:w="6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27D37" w14:textId="18E81578" w:rsidR="00766096" w:rsidRPr="00FB54D5" w:rsidRDefault="00766096" w:rsidP="00766096">
            <w:pPr>
              <w:widowControl/>
              <w:spacing w:before="120" w:after="120"/>
              <w:ind w:firstLineChars="200" w:firstLine="420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《ESG产教融合实践》是以校企联合为支撑，为加强产教融合，依靠工商管理学院与ESG研究院的企业家资源，安排学生至第一创业、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创金合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信、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盈富泰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克、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凯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联资本、联想集团</w:t>
            </w:r>
            <w:r w:rsidR="00176D14">
              <w:rPr>
                <w:rFonts w:ascii="仿宋" w:eastAsia="仿宋" w:hAnsi="仿宋" w:hint="eastAsia"/>
                <w:bCs/>
                <w:sz w:val="21"/>
                <w:szCs w:val="21"/>
              </w:rPr>
              <w:t>、云南信托</w:t>
            </w:r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等企业进行实地参访而开设的创新型实践课程。通过本门课程的教学，使学生在不同企业亲身感受国内企业最关心的ESG前沿问题，了解企业</w:t>
            </w:r>
            <w:proofErr w:type="gramStart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践行</w:t>
            </w:r>
            <w:proofErr w:type="gramEnd"/>
            <w:r w:rsidRPr="00FB54D5">
              <w:rPr>
                <w:rFonts w:ascii="仿宋" w:eastAsia="仿宋" w:hAnsi="仿宋" w:hint="eastAsia"/>
                <w:bCs/>
                <w:sz w:val="21"/>
                <w:szCs w:val="21"/>
              </w:rPr>
              <w:t>ESG理念的实践方法。课程将组织学生进行企业实地调研，帮助学生熟悉金融企业如何进行ESG投资，感受企业构建ESG管理体系的逻辑与ESG管理方法，调研过程中将穿插由企业家主讲的ESG实践问题前沿讲座，培养学生的可持续发展思维模式，锻炼学生发现和解决ESG问题的能力，全面助力学生ESG实践与理论双重能力的交叉提升。</w:t>
            </w:r>
          </w:p>
        </w:tc>
      </w:tr>
    </w:tbl>
    <w:p w14:paraId="2D6FD6D0" w14:textId="77777777" w:rsidR="0048594A" w:rsidRPr="00FB54D5" w:rsidRDefault="0048594A"/>
    <w:sectPr w:rsidR="0048594A" w:rsidRPr="00FB54D5">
      <w:footerReference w:type="default" r:id="rId8"/>
      <w:pgSz w:w="11906" w:h="16838"/>
      <w:pgMar w:top="1134" w:right="1418" w:bottom="1134" w:left="1418" w:header="851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72D9" w14:textId="77777777" w:rsidR="00CD7492" w:rsidRDefault="00CD7492" w:rsidP="00CB1D17">
      <w:r>
        <w:separator/>
      </w:r>
    </w:p>
  </w:endnote>
  <w:endnote w:type="continuationSeparator" w:id="0">
    <w:p w14:paraId="07A46FC0" w14:textId="77777777" w:rsidR="00CD7492" w:rsidRDefault="00CD7492" w:rsidP="00CB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9224251"/>
      <w:docPartObj>
        <w:docPartGallery w:val="Page Numbers (Bottom of Page)"/>
        <w:docPartUnique/>
      </w:docPartObj>
    </w:sdtPr>
    <w:sdtContent>
      <w:p w14:paraId="411E31C3" w14:textId="2DC327CA" w:rsidR="003B47C2" w:rsidRDefault="003B47C2" w:rsidP="003B4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41C1" w14:textId="77777777" w:rsidR="00CD7492" w:rsidRDefault="00CD7492" w:rsidP="00CB1D17">
      <w:r>
        <w:separator/>
      </w:r>
    </w:p>
  </w:footnote>
  <w:footnote w:type="continuationSeparator" w:id="0">
    <w:p w14:paraId="36538B51" w14:textId="77777777" w:rsidR="00CD7492" w:rsidRDefault="00CD7492" w:rsidP="00CB1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M2NTcyNTSwMDEwMDZX0lEKTi0uzszPAykwNKoFAGvxsoItAAAA"/>
    <w:docVar w:name="commondata" w:val="eyJoZGlkIjoiMmE5MmIxMDA0NmUxMTI3OTI0ODcyOTk2MmYwM2I1NGIifQ=="/>
  </w:docVars>
  <w:rsids>
    <w:rsidRoot w:val="0AE32D0C"/>
    <w:rsid w:val="0002258E"/>
    <w:rsid w:val="00032132"/>
    <w:rsid w:val="00055C33"/>
    <w:rsid w:val="000703B8"/>
    <w:rsid w:val="000F12A7"/>
    <w:rsid w:val="00100B06"/>
    <w:rsid w:val="00157AD0"/>
    <w:rsid w:val="00176D14"/>
    <w:rsid w:val="00194670"/>
    <w:rsid w:val="001A284D"/>
    <w:rsid w:val="001E7CEE"/>
    <w:rsid w:val="001F45AD"/>
    <w:rsid w:val="001F5FF1"/>
    <w:rsid w:val="00214F12"/>
    <w:rsid w:val="00277903"/>
    <w:rsid w:val="00284BA4"/>
    <w:rsid w:val="002C7132"/>
    <w:rsid w:val="002D1061"/>
    <w:rsid w:val="002E1761"/>
    <w:rsid w:val="0030581E"/>
    <w:rsid w:val="00316A84"/>
    <w:rsid w:val="00363F1A"/>
    <w:rsid w:val="00372B72"/>
    <w:rsid w:val="00382E77"/>
    <w:rsid w:val="00392EAF"/>
    <w:rsid w:val="0039608D"/>
    <w:rsid w:val="003B1BBA"/>
    <w:rsid w:val="003B47C2"/>
    <w:rsid w:val="003D01DF"/>
    <w:rsid w:val="003D4C0A"/>
    <w:rsid w:val="003E28B6"/>
    <w:rsid w:val="003F077D"/>
    <w:rsid w:val="00434C36"/>
    <w:rsid w:val="00435C84"/>
    <w:rsid w:val="00466175"/>
    <w:rsid w:val="00466B63"/>
    <w:rsid w:val="0048594A"/>
    <w:rsid w:val="00492EB6"/>
    <w:rsid w:val="00493CE0"/>
    <w:rsid w:val="004B5A3E"/>
    <w:rsid w:val="004D1C1E"/>
    <w:rsid w:val="004F769C"/>
    <w:rsid w:val="005409E2"/>
    <w:rsid w:val="00543679"/>
    <w:rsid w:val="005577A3"/>
    <w:rsid w:val="00584A72"/>
    <w:rsid w:val="00592BEA"/>
    <w:rsid w:val="005C0FCA"/>
    <w:rsid w:val="005F319E"/>
    <w:rsid w:val="00632B1E"/>
    <w:rsid w:val="00691253"/>
    <w:rsid w:val="00695B9D"/>
    <w:rsid w:val="006A1984"/>
    <w:rsid w:val="006B3802"/>
    <w:rsid w:val="006B622A"/>
    <w:rsid w:val="007051D4"/>
    <w:rsid w:val="0073411D"/>
    <w:rsid w:val="0075679B"/>
    <w:rsid w:val="00762423"/>
    <w:rsid w:val="00766096"/>
    <w:rsid w:val="007955C6"/>
    <w:rsid w:val="007C55C8"/>
    <w:rsid w:val="007D4886"/>
    <w:rsid w:val="007F53E5"/>
    <w:rsid w:val="00823CED"/>
    <w:rsid w:val="00832015"/>
    <w:rsid w:val="0083708D"/>
    <w:rsid w:val="008374F4"/>
    <w:rsid w:val="0084653F"/>
    <w:rsid w:val="00877743"/>
    <w:rsid w:val="0089537F"/>
    <w:rsid w:val="008A4B1C"/>
    <w:rsid w:val="008C6EDD"/>
    <w:rsid w:val="008F2C49"/>
    <w:rsid w:val="009206BD"/>
    <w:rsid w:val="009442F5"/>
    <w:rsid w:val="00984369"/>
    <w:rsid w:val="009E421A"/>
    <w:rsid w:val="009F6F9C"/>
    <w:rsid w:val="00AB124E"/>
    <w:rsid w:val="00AB27FA"/>
    <w:rsid w:val="00AC5134"/>
    <w:rsid w:val="00AD5752"/>
    <w:rsid w:val="00B51BA2"/>
    <w:rsid w:val="00B51BA5"/>
    <w:rsid w:val="00B75253"/>
    <w:rsid w:val="00B835EE"/>
    <w:rsid w:val="00B85D64"/>
    <w:rsid w:val="00BA4E8A"/>
    <w:rsid w:val="00BC4A1D"/>
    <w:rsid w:val="00BC7A37"/>
    <w:rsid w:val="00BD44DE"/>
    <w:rsid w:val="00BF3157"/>
    <w:rsid w:val="00C11ECD"/>
    <w:rsid w:val="00C12C7C"/>
    <w:rsid w:val="00C53AFB"/>
    <w:rsid w:val="00C85152"/>
    <w:rsid w:val="00C94FE3"/>
    <w:rsid w:val="00CB1D17"/>
    <w:rsid w:val="00CB38CF"/>
    <w:rsid w:val="00CD4DF3"/>
    <w:rsid w:val="00CD7492"/>
    <w:rsid w:val="00CE5208"/>
    <w:rsid w:val="00CF6094"/>
    <w:rsid w:val="00D02904"/>
    <w:rsid w:val="00D2442C"/>
    <w:rsid w:val="00D3019A"/>
    <w:rsid w:val="00D4521A"/>
    <w:rsid w:val="00D529C8"/>
    <w:rsid w:val="00D66152"/>
    <w:rsid w:val="00D74244"/>
    <w:rsid w:val="00D76F8F"/>
    <w:rsid w:val="00D81BBD"/>
    <w:rsid w:val="00D96EC6"/>
    <w:rsid w:val="00DA3C14"/>
    <w:rsid w:val="00DB1806"/>
    <w:rsid w:val="00DC14A3"/>
    <w:rsid w:val="00DE7622"/>
    <w:rsid w:val="00E5461D"/>
    <w:rsid w:val="00E82629"/>
    <w:rsid w:val="00E954D9"/>
    <w:rsid w:val="00EB4811"/>
    <w:rsid w:val="00EC3AD1"/>
    <w:rsid w:val="00EE058D"/>
    <w:rsid w:val="00EF021F"/>
    <w:rsid w:val="00F163E6"/>
    <w:rsid w:val="00F16F11"/>
    <w:rsid w:val="00F22C13"/>
    <w:rsid w:val="00F32F1C"/>
    <w:rsid w:val="00F50D2F"/>
    <w:rsid w:val="00F87105"/>
    <w:rsid w:val="00F93260"/>
    <w:rsid w:val="00FB135F"/>
    <w:rsid w:val="00FB54D5"/>
    <w:rsid w:val="00FE3A51"/>
    <w:rsid w:val="00FF1F2B"/>
    <w:rsid w:val="00FF756A"/>
    <w:rsid w:val="02641DFB"/>
    <w:rsid w:val="0AE32D0C"/>
    <w:rsid w:val="1165300E"/>
    <w:rsid w:val="175A6EDF"/>
    <w:rsid w:val="1EEF22CE"/>
    <w:rsid w:val="21BF3E1B"/>
    <w:rsid w:val="3D7106DB"/>
    <w:rsid w:val="46E13E64"/>
    <w:rsid w:val="496038EF"/>
    <w:rsid w:val="5C2667BC"/>
    <w:rsid w:val="60E0197E"/>
    <w:rsid w:val="6221580D"/>
    <w:rsid w:val="64844FF7"/>
    <w:rsid w:val="649F2FD7"/>
    <w:rsid w:val="687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74187"/>
  <w15:docId w15:val="{2FEA6C6D-61B6-48D4-8681-5801ED06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1D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B1D1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B1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1D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18550-C8FD-4E68-B4E1-10C41CE5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762</Words>
  <Characters>4349</Characters>
  <Application>Microsoft Office Word</Application>
  <DocSecurity>0</DocSecurity>
  <Lines>36</Lines>
  <Paragraphs>10</Paragraphs>
  <ScaleCrop>false</ScaleCrop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Shine_ZHOU</dc:creator>
  <cp:lastModifiedBy>hao zhang</cp:lastModifiedBy>
  <cp:revision>116</cp:revision>
  <dcterms:created xsi:type="dcterms:W3CDTF">2023-12-13T06:00:00Z</dcterms:created>
  <dcterms:modified xsi:type="dcterms:W3CDTF">2025-06-14T15:17:00Z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89BE444AC31A41DE92AD2CE08303C9EE</vt:lpwstr>
  </property>
</Properties>
</file>