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AC9ED">
      <w:pPr>
        <w:spacing w:before="156" w:beforeLines="50" w:after="156" w:afterLines="50" w:line="480" w:lineRule="exact"/>
        <w:ind w:left="558" w:hanging="558" w:hangingChars="155"/>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经济学院数字经济与贸易微专业人才培养方案</w:t>
      </w:r>
    </w:p>
    <w:p w14:paraId="7E07EFBB">
      <w:pPr>
        <w:widowControl/>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一、专业培养目标</w:t>
      </w:r>
    </w:p>
    <w:p w14:paraId="1184E354">
      <w:pPr>
        <w:widowControl/>
        <w:spacing w:line="360" w:lineRule="auto"/>
        <w:ind w:firstLine="480" w:firstLineChars="200"/>
        <w:rPr>
          <w:rFonts w:ascii="仿宋_GB2312" w:eastAsia="仿宋_GB2312"/>
          <w:sz w:val="24"/>
          <w:szCs w:val="24"/>
        </w:rPr>
      </w:pPr>
      <w:r>
        <w:rPr>
          <w:rFonts w:hint="eastAsia" w:ascii="仿宋_GB2312" w:eastAsia="仿宋_GB2312"/>
          <w:sz w:val="24"/>
          <w:szCs w:val="24"/>
        </w:rPr>
        <w:t>本专业旨在更好地适应新技术、新产业、新业态、新模式发展需要，立足经济社会发展对人才的需求，培养有正确人生观和价值观，具有成体系的经济学理论知识、分析方法，熟悉前沿数字化技术、数字化时代的经济运行规律、经济活动中的技术发展规律，具备良好的数据处理、数据分析、算法运用、模型开发的原理认知和实践能力的专业化复合型人才。通过本专业培养，学生能够参与数字经济的研究工作，从事传统行业的数字化转型工作，或者在现代信息技术制造与服务行业中从事数字经济相关工作。</w:t>
      </w:r>
    </w:p>
    <w:p w14:paraId="3211D3E0">
      <w:pPr>
        <w:widowControl/>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二、毕业要求</w:t>
      </w:r>
    </w:p>
    <w:p w14:paraId="6EB6B12F">
      <w:pPr>
        <w:widowControl/>
        <w:spacing w:line="360" w:lineRule="auto"/>
        <w:ind w:firstLine="480" w:firstLineChars="200"/>
        <w:rPr>
          <w:rFonts w:eastAsia="仿宋_GB2312"/>
          <w:sz w:val="24"/>
          <w:szCs w:val="24"/>
        </w:rPr>
      </w:pPr>
      <w:r>
        <w:rPr>
          <w:rFonts w:eastAsia="仿宋_GB2312"/>
          <w:sz w:val="24"/>
          <w:szCs w:val="24"/>
        </w:rPr>
        <w:t>1. 坚定拥护中国共产党领导和我国社会主义制度，在习近平新时代中国特色社会主义思想指引下，践行社会主义核心价值观，具有深厚的爱国情感和中华民族自豪感。</w:t>
      </w:r>
    </w:p>
    <w:p w14:paraId="71B841A5">
      <w:pPr>
        <w:widowControl/>
        <w:spacing w:line="360" w:lineRule="auto"/>
        <w:ind w:firstLine="480" w:firstLineChars="200"/>
        <w:rPr>
          <w:rFonts w:eastAsia="仿宋_GB2312"/>
          <w:sz w:val="24"/>
          <w:szCs w:val="24"/>
        </w:rPr>
      </w:pPr>
      <w:r>
        <w:rPr>
          <w:rFonts w:eastAsia="仿宋_GB2312"/>
          <w:sz w:val="24"/>
          <w:szCs w:val="24"/>
        </w:rPr>
        <w:t>2. 熟悉数字经济中企业与市场的特点与交互规律，数字产业与数字化进程的发展规律，数字化背景下的生产、劳动、消费、贸易等经济活动的方式与规律。</w:t>
      </w:r>
    </w:p>
    <w:p w14:paraId="44BB5499">
      <w:pPr>
        <w:widowControl/>
        <w:spacing w:line="360" w:lineRule="auto"/>
        <w:ind w:firstLine="480" w:firstLineChars="200"/>
        <w:rPr>
          <w:rFonts w:eastAsia="仿宋_GB2312"/>
          <w:sz w:val="24"/>
          <w:szCs w:val="24"/>
        </w:rPr>
      </w:pPr>
      <w:r>
        <w:rPr>
          <w:rFonts w:eastAsia="仿宋_GB2312"/>
          <w:sz w:val="24"/>
          <w:szCs w:val="24"/>
        </w:rPr>
        <w:t>3. 掌握经济学的理论基础和系统化的经济学分析方法，微观、中观、宏观层面的经济运行原理和问题分析框架。</w:t>
      </w:r>
    </w:p>
    <w:p w14:paraId="61A93C95">
      <w:pPr>
        <w:widowControl/>
        <w:spacing w:line="360" w:lineRule="auto"/>
        <w:ind w:firstLine="480" w:firstLineChars="200"/>
        <w:rPr>
          <w:rFonts w:eastAsia="仿宋_GB2312"/>
          <w:sz w:val="24"/>
          <w:szCs w:val="24"/>
        </w:rPr>
      </w:pPr>
      <w:r>
        <w:rPr>
          <w:rFonts w:eastAsia="仿宋_GB2312"/>
          <w:sz w:val="24"/>
          <w:szCs w:val="24"/>
        </w:rPr>
        <w:t>4. 了解数字经济相关的市场机制和法规制度设计，能够运用系统的经济学分析方法理解机制的作用原理。</w:t>
      </w:r>
    </w:p>
    <w:p w14:paraId="34861984">
      <w:pPr>
        <w:widowControl/>
        <w:spacing w:line="360" w:lineRule="auto"/>
        <w:ind w:firstLine="480" w:firstLineChars="200"/>
        <w:rPr>
          <w:rFonts w:eastAsia="仿宋_GB2312"/>
          <w:sz w:val="24"/>
          <w:szCs w:val="24"/>
        </w:rPr>
      </w:pPr>
      <w:r>
        <w:rPr>
          <w:rFonts w:eastAsia="仿宋_GB2312"/>
          <w:sz w:val="24"/>
          <w:szCs w:val="24"/>
        </w:rPr>
        <w:t>5. 了解数字化软硬件技术的基本原理和数字技术应用与发展的基本规律。</w:t>
      </w:r>
    </w:p>
    <w:p w14:paraId="178D9A52">
      <w:pPr>
        <w:widowControl/>
        <w:spacing w:line="360" w:lineRule="auto"/>
        <w:ind w:firstLine="480" w:firstLineChars="200"/>
        <w:rPr>
          <w:rFonts w:eastAsia="仿宋_GB2312"/>
          <w:sz w:val="24"/>
          <w:szCs w:val="24"/>
        </w:rPr>
      </w:pPr>
      <w:r>
        <w:rPr>
          <w:rFonts w:eastAsia="仿宋_GB2312"/>
          <w:sz w:val="24"/>
          <w:szCs w:val="24"/>
        </w:rPr>
        <w:t>6. 了解数据处理和分析、模式识别和生成模型的数学原理，了解并能够评价具体技术手段的特性。</w:t>
      </w:r>
    </w:p>
    <w:p w14:paraId="2E660C90">
      <w:pPr>
        <w:widowControl/>
        <w:spacing w:line="360" w:lineRule="auto"/>
        <w:ind w:firstLine="480" w:firstLineChars="200"/>
        <w:rPr>
          <w:rFonts w:eastAsia="仿宋_GB2312"/>
          <w:sz w:val="24"/>
          <w:szCs w:val="24"/>
        </w:rPr>
      </w:pPr>
      <w:r>
        <w:rPr>
          <w:rFonts w:eastAsia="仿宋_GB2312"/>
          <w:sz w:val="24"/>
          <w:szCs w:val="24"/>
        </w:rPr>
        <w:t>7. 掌握利用上述分析手段和编程工具，研究、分析、解决具体问题、开发技术原型的能力。</w:t>
      </w:r>
    </w:p>
    <w:p w14:paraId="1BFCC2D0">
      <w:pPr>
        <w:widowControl/>
        <w:spacing w:line="360" w:lineRule="auto"/>
        <w:ind w:firstLine="480" w:firstLineChars="200"/>
        <w:rPr>
          <w:rFonts w:eastAsia="仿宋_GB2312"/>
          <w:sz w:val="24"/>
          <w:szCs w:val="24"/>
        </w:rPr>
      </w:pPr>
      <w:r>
        <w:rPr>
          <w:rFonts w:eastAsia="仿宋_GB2312"/>
          <w:sz w:val="24"/>
          <w:szCs w:val="24"/>
        </w:rPr>
        <w:t>8. 能够应用经济分析能力和数字技术能力，理解经济新现象，研究经济新规律，发现和解决复杂现实问题。</w:t>
      </w:r>
    </w:p>
    <w:p w14:paraId="4ACA5883">
      <w:pPr>
        <w:widowControl/>
        <w:spacing w:line="360" w:lineRule="auto"/>
        <w:ind w:firstLine="480" w:firstLineChars="200"/>
        <w:rPr>
          <w:rFonts w:eastAsia="仿宋_GB2312"/>
          <w:sz w:val="24"/>
          <w:szCs w:val="24"/>
        </w:rPr>
      </w:pPr>
      <w:r>
        <w:rPr>
          <w:rFonts w:eastAsia="仿宋_GB2312"/>
          <w:sz w:val="24"/>
          <w:szCs w:val="24"/>
        </w:rPr>
        <w:t>9. 具备良好的沟通能力和协作能力，能够在不同专业人员之间以易于理解的方式传递复杂的经济学理论或技术信息。</w:t>
      </w:r>
    </w:p>
    <w:p w14:paraId="4FB28736">
      <w:pPr>
        <w:widowControl/>
        <w:spacing w:line="360" w:lineRule="auto"/>
        <w:ind w:firstLine="480" w:firstLineChars="200"/>
        <w:rPr>
          <w:rFonts w:eastAsia="仿宋_GB2312"/>
          <w:sz w:val="24"/>
          <w:szCs w:val="24"/>
        </w:rPr>
      </w:pPr>
      <w:r>
        <w:rPr>
          <w:rFonts w:eastAsia="仿宋_GB2312"/>
          <w:sz w:val="24"/>
          <w:szCs w:val="24"/>
        </w:rPr>
        <w:t>10. 具有自主学习和终身学习的意识，快速学习的能力，能够持续追踪研究动态和技术趋势。</w:t>
      </w:r>
    </w:p>
    <w:p w14:paraId="4212D6C0">
      <w:pPr>
        <w:widowControl/>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三、招生对象与条件</w:t>
      </w:r>
    </w:p>
    <w:p w14:paraId="7E9525A3">
      <w:pPr>
        <w:widowControl/>
        <w:spacing w:line="360" w:lineRule="auto"/>
        <w:ind w:firstLine="480" w:firstLineChars="200"/>
        <w:rPr>
          <w:rFonts w:eastAsia="仿宋_GB2312"/>
          <w:sz w:val="24"/>
          <w:szCs w:val="24"/>
        </w:rPr>
      </w:pPr>
      <w:r>
        <w:rPr>
          <w:rFonts w:eastAsia="仿宋_GB2312"/>
          <w:sz w:val="24"/>
          <w:szCs w:val="24"/>
        </w:rPr>
        <w:t>面向全校大二年级全日制本科生，招生计划</w:t>
      </w:r>
      <w:r>
        <w:rPr>
          <w:rFonts w:hint="eastAsia" w:eastAsia="仿宋_GB2312"/>
          <w:sz w:val="24"/>
          <w:szCs w:val="24"/>
        </w:rPr>
        <w:t>为</w:t>
      </w:r>
      <w:r>
        <w:rPr>
          <w:rFonts w:eastAsia="仿宋_GB2312"/>
          <w:sz w:val="24"/>
          <w:szCs w:val="24"/>
        </w:rPr>
        <w:t>35人，报名条件如下：</w:t>
      </w:r>
    </w:p>
    <w:p w14:paraId="06EFC931">
      <w:pPr>
        <w:widowControl/>
        <w:spacing w:line="360" w:lineRule="auto"/>
        <w:ind w:firstLine="480" w:firstLineChars="200"/>
        <w:rPr>
          <w:rFonts w:eastAsia="仿宋_GB2312"/>
          <w:sz w:val="24"/>
          <w:szCs w:val="24"/>
        </w:rPr>
      </w:pPr>
      <w:r>
        <w:rPr>
          <w:rFonts w:eastAsia="仿宋_GB2312"/>
          <w:sz w:val="24"/>
          <w:szCs w:val="24"/>
        </w:rPr>
        <w:t>1.</w:t>
      </w:r>
      <w:r>
        <w:rPr>
          <w:rFonts w:hint="eastAsia" w:eastAsia="仿宋_GB2312"/>
          <w:sz w:val="24"/>
          <w:szCs w:val="24"/>
        </w:rPr>
        <w:t>具有优秀的道德品质、健康的心理素质和强烈的家国情怀与社会责任感；</w:t>
      </w:r>
    </w:p>
    <w:p w14:paraId="731C720D">
      <w:pPr>
        <w:widowControl/>
        <w:spacing w:line="360" w:lineRule="auto"/>
        <w:ind w:firstLine="480" w:firstLineChars="200"/>
        <w:rPr>
          <w:rFonts w:eastAsia="仿宋_GB2312"/>
          <w:sz w:val="24"/>
          <w:szCs w:val="24"/>
        </w:rPr>
      </w:pPr>
      <w:r>
        <w:rPr>
          <w:rFonts w:eastAsia="仿宋_GB2312"/>
          <w:sz w:val="24"/>
          <w:szCs w:val="24"/>
        </w:rPr>
        <w:t>2.</w:t>
      </w:r>
      <w:r>
        <w:rPr>
          <w:rFonts w:hint="eastAsia" w:eastAsia="仿宋_GB2312"/>
          <w:sz w:val="24"/>
          <w:szCs w:val="24"/>
        </w:rPr>
        <w:t>具有良好的学习能力，尤其是对数字技术的学习和探究能力较强；</w:t>
      </w:r>
    </w:p>
    <w:p w14:paraId="459A617D">
      <w:pPr>
        <w:widowControl/>
        <w:spacing w:line="360" w:lineRule="auto"/>
        <w:ind w:firstLine="480" w:firstLineChars="200"/>
        <w:rPr>
          <w:rFonts w:ascii="仿宋_GB2312" w:eastAsia="仿宋_GB2312"/>
          <w:sz w:val="24"/>
          <w:szCs w:val="24"/>
        </w:rPr>
      </w:pPr>
      <w:r>
        <w:rPr>
          <w:rFonts w:hint="eastAsia" w:eastAsia="仿宋_GB2312"/>
          <w:sz w:val="24"/>
          <w:szCs w:val="24"/>
        </w:rPr>
        <w:t>3</w:t>
      </w:r>
      <w:r>
        <w:rPr>
          <w:rFonts w:eastAsia="仿宋_GB2312"/>
          <w:sz w:val="24"/>
          <w:szCs w:val="24"/>
        </w:rPr>
        <w:t>.</w:t>
      </w:r>
      <w:r>
        <w:rPr>
          <w:rFonts w:hint="eastAsia" w:eastAsia="仿宋_GB2312"/>
          <w:sz w:val="24"/>
          <w:szCs w:val="24"/>
        </w:rPr>
        <w:t>在校期间无不及格课程，至少修过一门经济学核心课程（例如：微观经济学、宏观经济学、经济学原理、政治经济学）。</w:t>
      </w:r>
    </w:p>
    <w:p w14:paraId="1A8FF0ED">
      <w:pPr>
        <w:widowControl/>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四、学分与证书</w:t>
      </w:r>
    </w:p>
    <w:p w14:paraId="1F1A6E78">
      <w:pPr>
        <w:widowControl/>
        <w:spacing w:line="360" w:lineRule="auto"/>
        <w:ind w:firstLine="480" w:firstLineChars="200"/>
        <w:rPr>
          <w:rFonts w:eastAsia="仿宋_GB2312"/>
          <w:sz w:val="24"/>
          <w:szCs w:val="24"/>
        </w:rPr>
      </w:pPr>
      <w:r>
        <w:rPr>
          <w:rFonts w:hint="eastAsia" w:eastAsia="仿宋_GB2312"/>
          <w:sz w:val="24"/>
          <w:szCs w:val="24"/>
        </w:rPr>
        <w:t>学生修完培养方案的6门课程并通过考试，可获得微专业证书。</w:t>
      </w:r>
    </w:p>
    <w:p w14:paraId="540CB82D">
      <w:pPr>
        <w:widowControl/>
        <w:ind w:firstLine="560" w:firstLineChars="200"/>
        <w:jc w:val="left"/>
        <w:rPr>
          <w:rFonts w:hint="eastAsia" w:ascii="黑体" w:hAnsi="黑体" w:eastAsia="黑体" w:cs="黑体"/>
          <w:bCs/>
          <w:sz w:val="28"/>
          <w:szCs w:val="28"/>
        </w:rPr>
      </w:pPr>
      <w:bookmarkStart w:id="0" w:name="_GoBack"/>
      <w:bookmarkEnd w:id="0"/>
      <w:r>
        <w:rPr>
          <w:rFonts w:hint="eastAsia" w:ascii="黑体" w:hAnsi="黑体" w:eastAsia="黑体" w:cs="黑体"/>
          <w:bCs/>
          <w:sz w:val="28"/>
          <w:szCs w:val="28"/>
        </w:rPr>
        <w:t>五、课程设置</w:t>
      </w:r>
    </w:p>
    <w:p w14:paraId="0702743D">
      <w:pPr>
        <w:widowControl/>
        <w:spacing w:after="156" w:line="0" w:lineRule="atLeast"/>
        <w:jc w:val="center"/>
        <w:rPr>
          <w:rFonts w:hint="eastAsia" w:ascii="黑体" w:hAnsi="黑体" w:eastAsia="黑体" w:cs="黑体"/>
          <w:bCs/>
          <w:sz w:val="28"/>
          <w:szCs w:val="28"/>
        </w:rPr>
      </w:pPr>
      <w:r>
        <w:rPr>
          <w:rFonts w:hint="eastAsia" w:ascii="黑体" w:hAnsi="黑体" w:eastAsia="黑体" w:cs="黑体"/>
          <w:bCs/>
          <w:sz w:val="28"/>
          <w:szCs w:val="28"/>
        </w:rPr>
        <w:t>数字经济与贸易微专业课程设置及教学进程计划表</w:t>
      </w:r>
    </w:p>
    <w:tbl>
      <w:tblPr>
        <w:tblStyle w:val="4"/>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983"/>
        <w:gridCol w:w="641"/>
        <w:gridCol w:w="764"/>
        <w:gridCol w:w="791"/>
        <w:gridCol w:w="736"/>
        <w:gridCol w:w="723"/>
        <w:gridCol w:w="730"/>
        <w:gridCol w:w="780"/>
        <w:gridCol w:w="1230"/>
        <w:gridCol w:w="733"/>
      </w:tblGrid>
      <w:tr w14:paraId="42424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Merge w:val="restart"/>
            <w:tcBorders>
              <w:bottom w:val="single" w:color="auto" w:sz="4" w:space="0"/>
            </w:tcBorders>
            <w:vAlign w:val="center"/>
          </w:tcPr>
          <w:p w14:paraId="0431EC21">
            <w:pPr>
              <w:widowControl/>
              <w:jc w:val="center"/>
              <w:rPr>
                <w:rFonts w:hint="eastAsia" w:ascii="黑体" w:hAnsi="黑体" w:eastAsia="黑体"/>
                <w:bCs/>
                <w:spacing w:val="20"/>
                <w:sz w:val="18"/>
                <w:szCs w:val="18"/>
              </w:rPr>
            </w:pPr>
            <w:r>
              <w:rPr>
                <w:rFonts w:hint="eastAsia" w:ascii="黑体" w:hAnsi="黑体" w:eastAsia="黑体"/>
                <w:bCs/>
                <w:sz w:val="18"/>
                <w:szCs w:val="18"/>
              </w:rPr>
              <w:t>课程名称</w:t>
            </w:r>
          </w:p>
        </w:tc>
        <w:tc>
          <w:tcPr>
            <w:tcW w:w="983" w:type="dxa"/>
            <w:vMerge w:val="restart"/>
            <w:vAlign w:val="center"/>
          </w:tcPr>
          <w:p w14:paraId="0A3C68A9">
            <w:pPr>
              <w:widowControl/>
              <w:jc w:val="center"/>
              <w:rPr>
                <w:rFonts w:hint="eastAsia"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14:paraId="4A87D77D">
            <w:pPr>
              <w:widowControl/>
              <w:jc w:val="center"/>
              <w:rPr>
                <w:rFonts w:hint="eastAsia"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14:paraId="5862A3CF">
            <w:pPr>
              <w:widowControl/>
              <w:jc w:val="center"/>
              <w:rPr>
                <w:rFonts w:hint="eastAsia"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14:paraId="5B332E63">
            <w:pPr>
              <w:widowControl/>
              <w:jc w:val="center"/>
              <w:rPr>
                <w:rFonts w:hint="eastAsia"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14:paraId="55878546">
            <w:pPr>
              <w:widowControl/>
              <w:snapToGrid w:val="0"/>
              <w:jc w:val="center"/>
              <w:rPr>
                <w:rFonts w:hint="eastAsia" w:ascii="黑体" w:hAnsi="黑体" w:eastAsia="黑体"/>
                <w:bCs/>
                <w:sz w:val="18"/>
                <w:szCs w:val="18"/>
              </w:rPr>
            </w:pPr>
            <w:r>
              <w:rPr>
                <w:rFonts w:hint="eastAsia" w:ascii="黑体" w:hAnsi="黑体" w:eastAsia="黑体"/>
                <w:bCs/>
                <w:sz w:val="18"/>
                <w:szCs w:val="18"/>
              </w:rPr>
              <w:t>考核</w:t>
            </w:r>
          </w:p>
          <w:p w14:paraId="4B10AB31">
            <w:pPr>
              <w:widowControl/>
              <w:jc w:val="center"/>
              <w:rPr>
                <w:rFonts w:hint="eastAsia"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14:paraId="59844BB1">
            <w:pPr>
              <w:widowControl/>
              <w:jc w:val="center"/>
              <w:rPr>
                <w:rFonts w:hint="eastAsia" w:ascii="黑体" w:hAnsi="黑体" w:eastAsia="黑体"/>
                <w:bCs/>
                <w:spacing w:val="20"/>
                <w:sz w:val="18"/>
                <w:szCs w:val="18"/>
              </w:rPr>
            </w:pPr>
            <w:r>
              <w:rPr>
                <w:rFonts w:hint="eastAsia" w:ascii="黑体" w:hAnsi="黑体" w:eastAsia="黑体"/>
                <w:bCs/>
                <w:spacing w:val="20"/>
                <w:sz w:val="18"/>
                <w:szCs w:val="18"/>
              </w:rPr>
              <w:t>开课单位</w:t>
            </w:r>
          </w:p>
        </w:tc>
        <w:tc>
          <w:tcPr>
            <w:tcW w:w="733" w:type="dxa"/>
            <w:vMerge w:val="restart"/>
            <w:tcBorders>
              <w:bottom w:val="single" w:color="auto" w:sz="4" w:space="0"/>
            </w:tcBorders>
            <w:vAlign w:val="center"/>
          </w:tcPr>
          <w:p w14:paraId="4358BDC9">
            <w:pPr>
              <w:widowControl/>
              <w:snapToGrid w:val="0"/>
              <w:jc w:val="center"/>
              <w:rPr>
                <w:rFonts w:hint="eastAsia" w:ascii="黑体" w:hAnsi="黑体" w:eastAsia="黑体"/>
                <w:bCs/>
                <w:sz w:val="18"/>
                <w:szCs w:val="18"/>
              </w:rPr>
            </w:pPr>
            <w:r>
              <w:rPr>
                <w:rFonts w:ascii="黑体" w:hAnsi="黑体" w:eastAsia="黑体"/>
                <w:bCs/>
                <w:sz w:val="18"/>
                <w:szCs w:val="18"/>
              </w:rPr>
              <w:t>开课</w:t>
            </w:r>
          </w:p>
          <w:p w14:paraId="3E75A4DB">
            <w:pPr>
              <w:widowControl/>
              <w:jc w:val="center"/>
              <w:rPr>
                <w:rFonts w:hint="eastAsia" w:ascii="黑体" w:hAnsi="黑体" w:eastAsia="黑体"/>
                <w:bCs/>
                <w:spacing w:val="20"/>
                <w:sz w:val="18"/>
                <w:szCs w:val="18"/>
              </w:rPr>
            </w:pPr>
            <w:r>
              <w:rPr>
                <w:rFonts w:hint="eastAsia" w:ascii="黑体" w:hAnsi="黑体" w:eastAsia="黑体"/>
                <w:bCs/>
                <w:sz w:val="18"/>
                <w:szCs w:val="18"/>
              </w:rPr>
              <w:t>时间</w:t>
            </w:r>
          </w:p>
        </w:tc>
      </w:tr>
      <w:tr w14:paraId="206D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Merge w:val="continue"/>
            <w:vAlign w:val="center"/>
          </w:tcPr>
          <w:p w14:paraId="02D49A3D">
            <w:pPr>
              <w:widowControl/>
              <w:jc w:val="center"/>
              <w:rPr>
                <w:rFonts w:hint="eastAsia" w:ascii="仿宋" w:hAnsi="仿宋" w:eastAsia="仿宋"/>
                <w:b/>
                <w:spacing w:val="20"/>
                <w:sz w:val="21"/>
                <w:szCs w:val="21"/>
              </w:rPr>
            </w:pPr>
          </w:p>
        </w:tc>
        <w:tc>
          <w:tcPr>
            <w:tcW w:w="983" w:type="dxa"/>
            <w:vMerge w:val="continue"/>
            <w:vAlign w:val="center"/>
          </w:tcPr>
          <w:p w14:paraId="312DCD02">
            <w:pPr>
              <w:widowControl/>
              <w:jc w:val="center"/>
              <w:rPr>
                <w:rFonts w:hint="eastAsia" w:ascii="仿宋" w:hAnsi="仿宋" w:eastAsia="仿宋"/>
                <w:b/>
                <w:spacing w:val="20"/>
                <w:sz w:val="21"/>
                <w:szCs w:val="21"/>
              </w:rPr>
            </w:pPr>
          </w:p>
        </w:tc>
        <w:tc>
          <w:tcPr>
            <w:tcW w:w="641" w:type="dxa"/>
            <w:vMerge w:val="continue"/>
            <w:vAlign w:val="center"/>
          </w:tcPr>
          <w:p w14:paraId="451E9E12">
            <w:pPr>
              <w:widowControl/>
              <w:jc w:val="center"/>
              <w:rPr>
                <w:rFonts w:hint="eastAsia" w:ascii="仿宋" w:hAnsi="仿宋" w:eastAsia="仿宋"/>
                <w:b/>
                <w:spacing w:val="20"/>
                <w:sz w:val="21"/>
                <w:szCs w:val="21"/>
              </w:rPr>
            </w:pPr>
          </w:p>
        </w:tc>
        <w:tc>
          <w:tcPr>
            <w:tcW w:w="764" w:type="dxa"/>
            <w:vMerge w:val="continue"/>
            <w:vAlign w:val="center"/>
          </w:tcPr>
          <w:p w14:paraId="42A2E8F0">
            <w:pPr>
              <w:widowControl/>
              <w:jc w:val="center"/>
              <w:rPr>
                <w:rFonts w:hint="eastAsia" w:ascii="仿宋" w:hAnsi="仿宋" w:eastAsia="仿宋"/>
                <w:b/>
                <w:spacing w:val="20"/>
                <w:sz w:val="21"/>
                <w:szCs w:val="21"/>
              </w:rPr>
            </w:pPr>
          </w:p>
        </w:tc>
        <w:tc>
          <w:tcPr>
            <w:tcW w:w="791" w:type="dxa"/>
            <w:vAlign w:val="center"/>
          </w:tcPr>
          <w:p w14:paraId="7ECF1534">
            <w:pPr>
              <w:widowControl/>
              <w:jc w:val="center"/>
              <w:rPr>
                <w:rFonts w:hint="eastAsia" w:ascii="黑体" w:hAnsi="黑体" w:eastAsia="黑体"/>
                <w:bCs/>
                <w:spacing w:val="20"/>
                <w:sz w:val="21"/>
                <w:szCs w:val="21"/>
              </w:rPr>
            </w:pPr>
            <w:r>
              <w:rPr>
                <w:rFonts w:hint="eastAsia" w:ascii="黑体" w:hAnsi="黑体" w:eastAsia="黑体"/>
                <w:bCs/>
                <w:sz w:val="18"/>
              </w:rPr>
              <w:t>理论</w:t>
            </w:r>
          </w:p>
        </w:tc>
        <w:tc>
          <w:tcPr>
            <w:tcW w:w="736" w:type="dxa"/>
            <w:vAlign w:val="center"/>
          </w:tcPr>
          <w:p w14:paraId="696D59CF">
            <w:pPr>
              <w:widowControl/>
              <w:jc w:val="center"/>
              <w:rPr>
                <w:rFonts w:hint="eastAsia" w:ascii="黑体" w:hAnsi="黑体" w:eastAsia="黑体"/>
                <w:bCs/>
                <w:spacing w:val="20"/>
                <w:sz w:val="21"/>
                <w:szCs w:val="21"/>
              </w:rPr>
            </w:pPr>
            <w:r>
              <w:rPr>
                <w:rFonts w:hint="eastAsia" w:ascii="黑体" w:hAnsi="黑体" w:eastAsia="黑体"/>
                <w:bCs/>
                <w:sz w:val="18"/>
              </w:rPr>
              <w:t>实践</w:t>
            </w:r>
          </w:p>
        </w:tc>
        <w:tc>
          <w:tcPr>
            <w:tcW w:w="723" w:type="dxa"/>
            <w:vAlign w:val="center"/>
          </w:tcPr>
          <w:p w14:paraId="231B4606">
            <w:pPr>
              <w:widowControl/>
              <w:jc w:val="center"/>
              <w:rPr>
                <w:rFonts w:hint="eastAsia"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14:paraId="685A1644">
            <w:pPr>
              <w:widowControl/>
              <w:jc w:val="center"/>
              <w:rPr>
                <w:rFonts w:hint="eastAsia"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14:paraId="6315107C">
            <w:pPr>
              <w:widowControl/>
              <w:jc w:val="center"/>
              <w:rPr>
                <w:rFonts w:hint="eastAsia" w:ascii="仿宋" w:hAnsi="仿宋" w:eastAsia="仿宋"/>
                <w:b/>
                <w:spacing w:val="20"/>
                <w:sz w:val="21"/>
                <w:szCs w:val="21"/>
              </w:rPr>
            </w:pPr>
          </w:p>
        </w:tc>
        <w:tc>
          <w:tcPr>
            <w:tcW w:w="1230" w:type="dxa"/>
            <w:vMerge w:val="continue"/>
            <w:vAlign w:val="center"/>
          </w:tcPr>
          <w:p w14:paraId="3A264076">
            <w:pPr>
              <w:widowControl/>
              <w:jc w:val="center"/>
              <w:rPr>
                <w:rFonts w:hint="eastAsia" w:ascii="仿宋" w:hAnsi="仿宋" w:eastAsia="仿宋"/>
                <w:b/>
                <w:spacing w:val="20"/>
                <w:sz w:val="21"/>
                <w:szCs w:val="21"/>
              </w:rPr>
            </w:pPr>
          </w:p>
        </w:tc>
        <w:tc>
          <w:tcPr>
            <w:tcW w:w="733" w:type="dxa"/>
            <w:vMerge w:val="continue"/>
            <w:vAlign w:val="center"/>
          </w:tcPr>
          <w:p w14:paraId="6883B96B">
            <w:pPr>
              <w:widowControl/>
              <w:jc w:val="center"/>
              <w:rPr>
                <w:rFonts w:hint="eastAsia" w:ascii="仿宋" w:hAnsi="仿宋" w:eastAsia="仿宋"/>
                <w:b/>
                <w:spacing w:val="20"/>
                <w:sz w:val="21"/>
                <w:szCs w:val="21"/>
              </w:rPr>
            </w:pPr>
          </w:p>
        </w:tc>
      </w:tr>
      <w:tr w14:paraId="1EEE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375EF6C6">
            <w:pPr>
              <w:widowControl/>
              <w:rPr>
                <w:rFonts w:hint="eastAsia" w:ascii="仿宋" w:hAnsi="仿宋" w:eastAsia="仿宋"/>
                <w:bCs/>
                <w:spacing w:val="20"/>
                <w:sz w:val="18"/>
                <w:szCs w:val="18"/>
              </w:rPr>
            </w:pPr>
            <w:r>
              <w:rPr>
                <w:rFonts w:hint="eastAsia" w:ascii="仿宋" w:hAnsi="仿宋" w:eastAsia="仿宋"/>
                <w:bCs/>
                <w:spacing w:val="20"/>
                <w:sz w:val="18"/>
                <w:szCs w:val="18"/>
              </w:rPr>
              <w:t>数字经济概论</w:t>
            </w:r>
          </w:p>
        </w:tc>
        <w:tc>
          <w:tcPr>
            <w:tcW w:w="983" w:type="dxa"/>
            <w:vAlign w:val="center"/>
          </w:tcPr>
          <w:p w14:paraId="512DDC80">
            <w:pPr>
              <w:widowControl/>
              <w:jc w:val="center"/>
              <w:rPr>
                <w:rFonts w:hint="eastAsia" w:ascii="仿宋" w:hAnsi="仿宋" w:eastAsia="仿宋"/>
                <w:bCs/>
                <w:spacing w:val="20"/>
                <w:sz w:val="18"/>
                <w:szCs w:val="18"/>
              </w:rPr>
            </w:pPr>
            <w:r>
              <w:rPr>
                <w:rFonts w:ascii="仿宋" w:hAnsi="仿宋" w:eastAsia="仿宋"/>
                <w:bCs/>
                <w:spacing w:val="20"/>
                <w:sz w:val="18"/>
                <w:szCs w:val="18"/>
              </w:rPr>
              <w:t>V0324020A</w:t>
            </w:r>
          </w:p>
        </w:tc>
        <w:tc>
          <w:tcPr>
            <w:tcW w:w="641" w:type="dxa"/>
            <w:vAlign w:val="center"/>
          </w:tcPr>
          <w:p w14:paraId="6770FAC8">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p>
        </w:tc>
        <w:tc>
          <w:tcPr>
            <w:tcW w:w="764" w:type="dxa"/>
            <w:vAlign w:val="center"/>
          </w:tcPr>
          <w:p w14:paraId="7451B427">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32</w:t>
            </w:r>
          </w:p>
        </w:tc>
        <w:tc>
          <w:tcPr>
            <w:tcW w:w="791" w:type="dxa"/>
            <w:vAlign w:val="center"/>
          </w:tcPr>
          <w:p w14:paraId="7D7932C7">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4</w:t>
            </w:r>
          </w:p>
        </w:tc>
        <w:tc>
          <w:tcPr>
            <w:tcW w:w="736" w:type="dxa"/>
            <w:vAlign w:val="center"/>
          </w:tcPr>
          <w:p w14:paraId="2D9DEAD0">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8</w:t>
            </w:r>
          </w:p>
        </w:tc>
        <w:tc>
          <w:tcPr>
            <w:tcW w:w="723" w:type="dxa"/>
            <w:vAlign w:val="center"/>
          </w:tcPr>
          <w:p w14:paraId="1E460468">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29</w:t>
            </w:r>
          </w:p>
        </w:tc>
        <w:tc>
          <w:tcPr>
            <w:tcW w:w="730" w:type="dxa"/>
            <w:vAlign w:val="center"/>
          </w:tcPr>
          <w:p w14:paraId="7F23D142">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w:t>
            </w:r>
          </w:p>
        </w:tc>
        <w:tc>
          <w:tcPr>
            <w:tcW w:w="780" w:type="dxa"/>
            <w:vAlign w:val="center"/>
          </w:tcPr>
          <w:p w14:paraId="1C1FDC1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14:paraId="0D4C5094">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43BC03E6">
            <w:pPr>
              <w:widowControl/>
              <w:jc w:val="center"/>
              <w:rPr>
                <w:rFonts w:hint="eastAsia" w:ascii="仿宋" w:hAnsi="仿宋" w:eastAsia="仿宋"/>
                <w:bCs/>
                <w:spacing w:val="20"/>
                <w:sz w:val="18"/>
                <w:szCs w:val="18"/>
              </w:rPr>
            </w:pPr>
            <w:r>
              <w:rPr>
                <w:rFonts w:ascii="仿宋" w:hAnsi="仿宋" w:eastAsia="仿宋"/>
                <w:bCs/>
                <w:spacing w:val="20"/>
                <w:sz w:val="18"/>
                <w:szCs w:val="18"/>
              </w:rPr>
              <w:t>2</w:t>
            </w:r>
            <w:r>
              <w:rPr>
                <w:rFonts w:hint="eastAsia" w:ascii="仿宋" w:hAnsi="仿宋" w:eastAsia="仿宋"/>
                <w:bCs/>
                <w:spacing w:val="20"/>
                <w:sz w:val="18"/>
                <w:szCs w:val="18"/>
              </w:rPr>
              <w:t>-</w:t>
            </w:r>
            <w:r>
              <w:rPr>
                <w:rFonts w:ascii="仿宋" w:hAnsi="仿宋" w:eastAsia="仿宋"/>
                <w:bCs/>
                <w:spacing w:val="20"/>
                <w:sz w:val="18"/>
                <w:szCs w:val="18"/>
              </w:rPr>
              <w:t>1</w:t>
            </w:r>
          </w:p>
        </w:tc>
      </w:tr>
      <w:tr w14:paraId="59ED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5BB180FB">
            <w:pPr>
              <w:widowControl/>
              <w:rPr>
                <w:rFonts w:hint="eastAsia" w:ascii="仿宋" w:hAnsi="仿宋" w:eastAsia="仿宋"/>
                <w:bCs/>
                <w:spacing w:val="20"/>
                <w:sz w:val="18"/>
                <w:szCs w:val="18"/>
              </w:rPr>
            </w:pPr>
            <w:r>
              <w:rPr>
                <w:rFonts w:hint="eastAsia" w:ascii="仿宋" w:hAnsi="仿宋" w:eastAsia="仿宋"/>
                <w:bCs/>
                <w:spacing w:val="20"/>
                <w:sz w:val="18"/>
                <w:szCs w:val="18"/>
              </w:rPr>
              <w:t>数字贸易</w:t>
            </w:r>
          </w:p>
        </w:tc>
        <w:tc>
          <w:tcPr>
            <w:tcW w:w="983" w:type="dxa"/>
            <w:vAlign w:val="center"/>
          </w:tcPr>
          <w:p w14:paraId="43AE15E5">
            <w:pPr>
              <w:widowControl/>
              <w:jc w:val="center"/>
              <w:rPr>
                <w:rFonts w:hint="eastAsia" w:ascii="仿宋" w:hAnsi="仿宋" w:eastAsia="仿宋"/>
                <w:bCs/>
                <w:spacing w:val="20"/>
                <w:sz w:val="18"/>
                <w:szCs w:val="18"/>
              </w:rPr>
            </w:pPr>
            <w:r>
              <w:rPr>
                <w:rFonts w:ascii="仿宋" w:hAnsi="仿宋" w:eastAsia="仿宋"/>
                <w:bCs/>
                <w:spacing w:val="20"/>
                <w:sz w:val="18"/>
                <w:szCs w:val="18"/>
              </w:rPr>
              <w:t>V0324090A</w:t>
            </w:r>
          </w:p>
        </w:tc>
        <w:tc>
          <w:tcPr>
            <w:tcW w:w="641" w:type="dxa"/>
            <w:vAlign w:val="center"/>
          </w:tcPr>
          <w:p w14:paraId="088ABD93">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p>
        </w:tc>
        <w:tc>
          <w:tcPr>
            <w:tcW w:w="764" w:type="dxa"/>
            <w:vAlign w:val="center"/>
          </w:tcPr>
          <w:p w14:paraId="4D97598A">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32</w:t>
            </w:r>
          </w:p>
        </w:tc>
        <w:tc>
          <w:tcPr>
            <w:tcW w:w="791" w:type="dxa"/>
            <w:vAlign w:val="center"/>
          </w:tcPr>
          <w:p w14:paraId="4252D242">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36" w:type="dxa"/>
            <w:vAlign w:val="center"/>
          </w:tcPr>
          <w:p w14:paraId="7E59009E">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23" w:type="dxa"/>
            <w:vAlign w:val="center"/>
          </w:tcPr>
          <w:p w14:paraId="3779BB04">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29</w:t>
            </w:r>
          </w:p>
        </w:tc>
        <w:tc>
          <w:tcPr>
            <w:tcW w:w="730" w:type="dxa"/>
            <w:vAlign w:val="center"/>
          </w:tcPr>
          <w:p w14:paraId="5408479E">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w:t>
            </w:r>
          </w:p>
        </w:tc>
        <w:tc>
          <w:tcPr>
            <w:tcW w:w="780" w:type="dxa"/>
            <w:vAlign w:val="center"/>
          </w:tcPr>
          <w:p w14:paraId="5CB056F5">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14:paraId="7404D7AE">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78D336E1">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2-1</w:t>
            </w:r>
          </w:p>
        </w:tc>
      </w:tr>
      <w:tr w14:paraId="1F46D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3B3EBB54">
            <w:pPr>
              <w:widowControl/>
              <w:rPr>
                <w:rFonts w:hint="eastAsia" w:ascii="仿宋" w:hAnsi="仿宋" w:eastAsia="仿宋"/>
                <w:bCs/>
                <w:spacing w:val="20"/>
                <w:sz w:val="18"/>
                <w:szCs w:val="18"/>
              </w:rPr>
            </w:pPr>
            <w:r>
              <w:rPr>
                <w:rFonts w:hint="eastAsia" w:ascii="仿宋" w:hAnsi="仿宋" w:eastAsia="仿宋"/>
                <w:bCs/>
                <w:spacing w:val="20"/>
                <w:sz w:val="18"/>
                <w:szCs w:val="18"/>
              </w:rPr>
              <w:t>网络经济学</w:t>
            </w:r>
          </w:p>
        </w:tc>
        <w:tc>
          <w:tcPr>
            <w:tcW w:w="983" w:type="dxa"/>
            <w:vAlign w:val="center"/>
          </w:tcPr>
          <w:p w14:paraId="70A5644C">
            <w:pPr>
              <w:widowControl/>
              <w:jc w:val="center"/>
              <w:rPr>
                <w:rFonts w:hint="eastAsia" w:ascii="仿宋" w:hAnsi="仿宋" w:eastAsia="仿宋"/>
                <w:bCs/>
                <w:spacing w:val="20"/>
                <w:sz w:val="18"/>
                <w:szCs w:val="18"/>
              </w:rPr>
            </w:pPr>
            <w:r>
              <w:rPr>
                <w:rFonts w:ascii="仿宋" w:hAnsi="仿宋" w:eastAsia="仿宋"/>
                <w:bCs/>
                <w:spacing w:val="20"/>
                <w:sz w:val="18"/>
                <w:szCs w:val="18"/>
              </w:rPr>
              <w:t>V0324050A</w:t>
            </w:r>
          </w:p>
        </w:tc>
        <w:tc>
          <w:tcPr>
            <w:tcW w:w="641" w:type="dxa"/>
            <w:vAlign w:val="center"/>
          </w:tcPr>
          <w:p w14:paraId="1405AF33">
            <w:pPr>
              <w:widowControl/>
              <w:jc w:val="center"/>
              <w:rPr>
                <w:rFonts w:hint="eastAsia"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14:paraId="391EE71C">
            <w:pPr>
              <w:widowControl/>
              <w:jc w:val="center"/>
              <w:rPr>
                <w:rFonts w:hint="eastAsia"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14:paraId="7194DDC2">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36" w:type="dxa"/>
            <w:vAlign w:val="center"/>
          </w:tcPr>
          <w:p w14:paraId="770C4B57">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23" w:type="dxa"/>
            <w:vAlign w:val="center"/>
          </w:tcPr>
          <w:p w14:paraId="2DB35027">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29</w:t>
            </w:r>
          </w:p>
        </w:tc>
        <w:tc>
          <w:tcPr>
            <w:tcW w:w="730" w:type="dxa"/>
            <w:vAlign w:val="center"/>
          </w:tcPr>
          <w:p w14:paraId="5316B245">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w:t>
            </w:r>
          </w:p>
        </w:tc>
        <w:tc>
          <w:tcPr>
            <w:tcW w:w="780" w:type="dxa"/>
            <w:vAlign w:val="center"/>
          </w:tcPr>
          <w:p w14:paraId="28C1F38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14:paraId="33A97D68">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083CCB10">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2-1</w:t>
            </w:r>
          </w:p>
        </w:tc>
      </w:tr>
      <w:tr w14:paraId="766B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7B602680">
            <w:pPr>
              <w:widowControl/>
              <w:rPr>
                <w:rFonts w:hint="eastAsia" w:ascii="仿宋" w:hAnsi="仿宋" w:eastAsia="仿宋"/>
                <w:bCs/>
                <w:spacing w:val="20"/>
                <w:sz w:val="18"/>
                <w:szCs w:val="18"/>
              </w:rPr>
            </w:pPr>
            <w:r>
              <w:rPr>
                <w:rFonts w:hint="eastAsia" w:ascii="仿宋" w:hAnsi="仿宋" w:eastAsia="仿宋"/>
                <w:bCs/>
                <w:spacing w:val="20"/>
                <w:sz w:val="18"/>
                <w:szCs w:val="18"/>
              </w:rPr>
              <w:t>人工智能经济学</w:t>
            </w:r>
          </w:p>
        </w:tc>
        <w:tc>
          <w:tcPr>
            <w:tcW w:w="983" w:type="dxa"/>
            <w:vAlign w:val="center"/>
          </w:tcPr>
          <w:p w14:paraId="32B1FA02">
            <w:pPr>
              <w:widowControl/>
              <w:jc w:val="center"/>
              <w:rPr>
                <w:rFonts w:hint="eastAsia" w:ascii="仿宋" w:hAnsi="仿宋" w:eastAsia="仿宋"/>
                <w:bCs/>
                <w:spacing w:val="20"/>
                <w:sz w:val="18"/>
                <w:szCs w:val="18"/>
              </w:rPr>
            </w:pPr>
            <w:r>
              <w:rPr>
                <w:rFonts w:ascii="仿宋" w:hAnsi="仿宋" w:eastAsia="仿宋"/>
                <w:bCs/>
                <w:spacing w:val="20"/>
                <w:sz w:val="18"/>
                <w:szCs w:val="18"/>
              </w:rPr>
              <w:t>V0324042A</w:t>
            </w:r>
          </w:p>
        </w:tc>
        <w:tc>
          <w:tcPr>
            <w:tcW w:w="641" w:type="dxa"/>
            <w:vAlign w:val="center"/>
          </w:tcPr>
          <w:p w14:paraId="70D0DBCA">
            <w:pPr>
              <w:widowControl/>
              <w:jc w:val="center"/>
              <w:rPr>
                <w:rFonts w:hint="eastAsia" w:ascii="仿宋" w:hAnsi="仿宋" w:eastAsia="仿宋"/>
                <w:bCs/>
                <w:spacing w:val="20"/>
                <w:sz w:val="18"/>
                <w:szCs w:val="18"/>
              </w:rPr>
            </w:pPr>
            <w:r>
              <w:rPr>
                <w:rFonts w:ascii="仿宋" w:hAnsi="仿宋" w:eastAsia="仿宋"/>
                <w:bCs/>
                <w:spacing w:val="20"/>
                <w:sz w:val="18"/>
                <w:szCs w:val="18"/>
              </w:rPr>
              <w:t>2</w:t>
            </w:r>
          </w:p>
        </w:tc>
        <w:tc>
          <w:tcPr>
            <w:tcW w:w="764" w:type="dxa"/>
            <w:vAlign w:val="center"/>
          </w:tcPr>
          <w:p w14:paraId="178CD603">
            <w:pPr>
              <w:widowControl/>
              <w:jc w:val="center"/>
              <w:rPr>
                <w:rFonts w:hint="eastAsia" w:ascii="仿宋" w:hAnsi="仿宋" w:eastAsia="仿宋"/>
                <w:bCs/>
                <w:spacing w:val="20"/>
                <w:sz w:val="18"/>
                <w:szCs w:val="18"/>
              </w:rPr>
            </w:pPr>
            <w:r>
              <w:rPr>
                <w:rFonts w:ascii="仿宋" w:hAnsi="仿宋" w:eastAsia="仿宋"/>
                <w:bCs/>
                <w:spacing w:val="20"/>
                <w:sz w:val="18"/>
                <w:szCs w:val="18"/>
              </w:rPr>
              <w:t>32</w:t>
            </w:r>
          </w:p>
        </w:tc>
        <w:tc>
          <w:tcPr>
            <w:tcW w:w="791" w:type="dxa"/>
            <w:vAlign w:val="center"/>
          </w:tcPr>
          <w:p w14:paraId="10FAEDDC">
            <w:pPr>
              <w:widowControl/>
              <w:jc w:val="center"/>
              <w:rPr>
                <w:rFonts w:hint="eastAsia"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14:paraId="0583D051">
            <w:pPr>
              <w:widowControl/>
              <w:jc w:val="center"/>
              <w:rPr>
                <w:rFonts w:hint="eastAsia" w:ascii="仿宋" w:hAnsi="仿宋" w:eastAsia="仿宋"/>
                <w:bCs/>
                <w:spacing w:val="20"/>
                <w:sz w:val="18"/>
                <w:szCs w:val="18"/>
              </w:rPr>
            </w:pPr>
            <w:r>
              <w:rPr>
                <w:rFonts w:ascii="仿宋" w:hAnsi="仿宋" w:eastAsia="仿宋"/>
                <w:bCs/>
                <w:spacing w:val="20"/>
                <w:sz w:val="18"/>
                <w:szCs w:val="18"/>
              </w:rPr>
              <w:t>16</w:t>
            </w:r>
          </w:p>
        </w:tc>
        <w:tc>
          <w:tcPr>
            <w:tcW w:w="723" w:type="dxa"/>
            <w:vAlign w:val="center"/>
          </w:tcPr>
          <w:p w14:paraId="2CDB5A2A">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29</w:t>
            </w:r>
          </w:p>
        </w:tc>
        <w:tc>
          <w:tcPr>
            <w:tcW w:w="730" w:type="dxa"/>
            <w:vAlign w:val="center"/>
          </w:tcPr>
          <w:p w14:paraId="761ED392">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w:t>
            </w:r>
          </w:p>
        </w:tc>
        <w:tc>
          <w:tcPr>
            <w:tcW w:w="780" w:type="dxa"/>
            <w:vAlign w:val="center"/>
          </w:tcPr>
          <w:p w14:paraId="17A791D6">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14:paraId="129273B8">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176E1D6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tr w14:paraId="3B855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7817B674">
            <w:pPr>
              <w:widowControl/>
              <w:rPr>
                <w:rFonts w:hint="eastAsia" w:ascii="仿宋" w:hAnsi="仿宋" w:eastAsia="仿宋"/>
                <w:bCs/>
                <w:spacing w:val="20"/>
                <w:sz w:val="18"/>
                <w:szCs w:val="18"/>
              </w:rPr>
            </w:pPr>
            <w:r>
              <w:rPr>
                <w:rFonts w:hint="eastAsia" w:ascii="仿宋" w:hAnsi="仿宋" w:eastAsia="仿宋"/>
                <w:bCs/>
                <w:spacing w:val="20"/>
                <w:sz w:val="18"/>
                <w:szCs w:val="18"/>
              </w:rPr>
              <w:t>数字产业创新</w:t>
            </w:r>
          </w:p>
        </w:tc>
        <w:tc>
          <w:tcPr>
            <w:tcW w:w="983" w:type="dxa"/>
            <w:vAlign w:val="center"/>
          </w:tcPr>
          <w:p w14:paraId="40BF7913">
            <w:pPr>
              <w:widowControl/>
              <w:jc w:val="center"/>
              <w:rPr>
                <w:rFonts w:hint="eastAsia" w:ascii="仿宋" w:hAnsi="仿宋" w:eastAsia="仿宋"/>
                <w:bCs/>
                <w:spacing w:val="20"/>
                <w:sz w:val="18"/>
                <w:szCs w:val="18"/>
              </w:rPr>
            </w:pPr>
            <w:r>
              <w:rPr>
                <w:rFonts w:ascii="仿宋" w:hAnsi="仿宋" w:eastAsia="仿宋"/>
                <w:bCs/>
                <w:spacing w:val="20"/>
                <w:sz w:val="18"/>
                <w:szCs w:val="18"/>
              </w:rPr>
              <w:t>V0324060A</w:t>
            </w:r>
          </w:p>
        </w:tc>
        <w:tc>
          <w:tcPr>
            <w:tcW w:w="641" w:type="dxa"/>
            <w:vAlign w:val="center"/>
          </w:tcPr>
          <w:p w14:paraId="0C94AE57">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p>
        </w:tc>
        <w:tc>
          <w:tcPr>
            <w:tcW w:w="764" w:type="dxa"/>
            <w:vAlign w:val="center"/>
          </w:tcPr>
          <w:p w14:paraId="3EF0EA51">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32</w:t>
            </w:r>
          </w:p>
        </w:tc>
        <w:tc>
          <w:tcPr>
            <w:tcW w:w="791" w:type="dxa"/>
            <w:vAlign w:val="center"/>
          </w:tcPr>
          <w:p w14:paraId="3B59ED6F">
            <w:pPr>
              <w:widowControl/>
              <w:jc w:val="center"/>
              <w:rPr>
                <w:rFonts w:hint="eastAsia"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14:paraId="03F68429">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23" w:type="dxa"/>
            <w:vAlign w:val="center"/>
          </w:tcPr>
          <w:p w14:paraId="2338BB4A">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29</w:t>
            </w:r>
          </w:p>
        </w:tc>
        <w:tc>
          <w:tcPr>
            <w:tcW w:w="730" w:type="dxa"/>
            <w:vAlign w:val="center"/>
          </w:tcPr>
          <w:p w14:paraId="5275C7AB">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w:t>
            </w:r>
          </w:p>
        </w:tc>
        <w:tc>
          <w:tcPr>
            <w:tcW w:w="780" w:type="dxa"/>
            <w:vAlign w:val="center"/>
          </w:tcPr>
          <w:p w14:paraId="0B79D765">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考试</w:t>
            </w:r>
          </w:p>
        </w:tc>
        <w:tc>
          <w:tcPr>
            <w:tcW w:w="1230" w:type="dxa"/>
            <w:vAlign w:val="center"/>
          </w:tcPr>
          <w:p w14:paraId="5C490339">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780D911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r>
              <w:rPr>
                <w:rFonts w:ascii="仿宋" w:hAnsi="仿宋" w:eastAsia="仿宋"/>
                <w:bCs/>
                <w:spacing w:val="20"/>
                <w:sz w:val="18"/>
                <w:szCs w:val="18"/>
              </w:rPr>
              <w:t>-2</w:t>
            </w:r>
          </w:p>
        </w:tc>
      </w:tr>
      <w:tr w14:paraId="59B5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vAlign w:val="center"/>
          </w:tcPr>
          <w:p w14:paraId="1AA05484">
            <w:pPr>
              <w:widowControl/>
              <w:rPr>
                <w:rFonts w:hint="eastAsia" w:ascii="仿宋" w:hAnsi="仿宋" w:eastAsia="仿宋"/>
                <w:bCs/>
                <w:spacing w:val="20"/>
                <w:sz w:val="18"/>
                <w:szCs w:val="18"/>
              </w:rPr>
            </w:pPr>
            <w:r>
              <w:rPr>
                <w:rFonts w:hint="eastAsia" w:ascii="仿宋" w:hAnsi="仿宋" w:eastAsia="仿宋"/>
                <w:bCs/>
                <w:spacing w:val="20"/>
                <w:sz w:val="18"/>
                <w:szCs w:val="18"/>
              </w:rPr>
              <w:t>数字经济理论与应用前沿</w:t>
            </w:r>
          </w:p>
        </w:tc>
        <w:tc>
          <w:tcPr>
            <w:tcW w:w="983" w:type="dxa"/>
            <w:vAlign w:val="center"/>
          </w:tcPr>
          <w:p w14:paraId="13D70739">
            <w:pPr>
              <w:widowControl/>
              <w:jc w:val="center"/>
              <w:rPr>
                <w:rFonts w:hint="eastAsia" w:ascii="仿宋" w:hAnsi="仿宋" w:eastAsia="仿宋"/>
                <w:bCs/>
                <w:spacing w:val="20"/>
                <w:sz w:val="18"/>
                <w:szCs w:val="18"/>
              </w:rPr>
            </w:pPr>
            <w:r>
              <w:rPr>
                <w:rFonts w:ascii="仿宋" w:hAnsi="仿宋" w:eastAsia="仿宋"/>
                <w:bCs/>
                <w:spacing w:val="20"/>
                <w:sz w:val="18"/>
                <w:szCs w:val="18"/>
              </w:rPr>
              <w:t>V0324011B</w:t>
            </w:r>
          </w:p>
        </w:tc>
        <w:tc>
          <w:tcPr>
            <w:tcW w:w="641" w:type="dxa"/>
            <w:vAlign w:val="center"/>
          </w:tcPr>
          <w:p w14:paraId="3B3CE32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2</w:t>
            </w:r>
          </w:p>
        </w:tc>
        <w:tc>
          <w:tcPr>
            <w:tcW w:w="764" w:type="dxa"/>
            <w:vAlign w:val="center"/>
          </w:tcPr>
          <w:p w14:paraId="29E454DF">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32</w:t>
            </w:r>
          </w:p>
        </w:tc>
        <w:tc>
          <w:tcPr>
            <w:tcW w:w="791" w:type="dxa"/>
            <w:vAlign w:val="center"/>
          </w:tcPr>
          <w:p w14:paraId="3798BDD6">
            <w:pPr>
              <w:widowControl/>
              <w:jc w:val="center"/>
              <w:rPr>
                <w:rFonts w:hint="eastAsia" w:ascii="仿宋" w:hAnsi="仿宋" w:eastAsia="仿宋"/>
                <w:bCs/>
                <w:spacing w:val="20"/>
                <w:sz w:val="18"/>
                <w:szCs w:val="18"/>
              </w:rPr>
            </w:pPr>
            <w:r>
              <w:rPr>
                <w:rFonts w:ascii="仿宋" w:hAnsi="仿宋" w:eastAsia="仿宋"/>
                <w:bCs/>
                <w:spacing w:val="20"/>
                <w:sz w:val="18"/>
                <w:szCs w:val="18"/>
              </w:rPr>
              <w:t>16</w:t>
            </w:r>
          </w:p>
        </w:tc>
        <w:tc>
          <w:tcPr>
            <w:tcW w:w="736" w:type="dxa"/>
            <w:vAlign w:val="center"/>
          </w:tcPr>
          <w:p w14:paraId="79B797E0">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23" w:type="dxa"/>
            <w:vAlign w:val="center"/>
          </w:tcPr>
          <w:p w14:paraId="134A641D">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16</w:t>
            </w:r>
          </w:p>
        </w:tc>
        <w:tc>
          <w:tcPr>
            <w:tcW w:w="730" w:type="dxa"/>
            <w:vAlign w:val="center"/>
          </w:tcPr>
          <w:p w14:paraId="27EF6A34">
            <w:pPr>
              <w:widowControl/>
              <w:jc w:val="center"/>
              <w:rPr>
                <w:rFonts w:hint="eastAsia" w:ascii="仿宋" w:hAnsi="仿宋" w:eastAsia="仿宋"/>
                <w:bCs/>
                <w:spacing w:val="20"/>
                <w:sz w:val="18"/>
                <w:szCs w:val="18"/>
              </w:rPr>
            </w:pPr>
            <w:r>
              <w:rPr>
                <w:rFonts w:ascii="仿宋" w:hAnsi="仿宋" w:eastAsia="仿宋"/>
                <w:bCs/>
                <w:spacing w:val="20"/>
                <w:sz w:val="18"/>
                <w:szCs w:val="18"/>
              </w:rPr>
              <w:t>16</w:t>
            </w:r>
          </w:p>
        </w:tc>
        <w:tc>
          <w:tcPr>
            <w:tcW w:w="780" w:type="dxa"/>
            <w:vAlign w:val="center"/>
          </w:tcPr>
          <w:p w14:paraId="26CA132D">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考查</w:t>
            </w:r>
          </w:p>
        </w:tc>
        <w:tc>
          <w:tcPr>
            <w:tcW w:w="1230" w:type="dxa"/>
            <w:vAlign w:val="center"/>
          </w:tcPr>
          <w:p w14:paraId="314E675C">
            <w:pPr>
              <w:widowControl/>
              <w:jc w:val="center"/>
              <w:rPr>
                <w:rFonts w:hint="eastAsia" w:ascii="仿宋" w:hAnsi="仿宋" w:eastAsia="仿宋"/>
                <w:bCs/>
                <w:spacing w:val="20"/>
                <w:sz w:val="18"/>
                <w:szCs w:val="18"/>
              </w:rPr>
            </w:pPr>
            <w:r>
              <w:rPr>
                <w:rFonts w:hint="eastAsia" w:ascii="仿宋" w:hAnsi="仿宋" w:eastAsia="仿宋"/>
                <w:bCs/>
                <w:spacing w:val="20"/>
                <w:sz w:val="18"/>
                <w:szCs w:val="18"/>
              </w:rPr>
              <w:t>经济学院</w:t>
            </w:r>
          </w:p>
        </w:tc>
        <w:tc>
          <w:tcPr>
            <w:tcW w:w="733" w:type="dxa"/>
            <w:vAlign w:val="center"/>
          </w:tcPr>
          <w:p w14:paraId="27E00F3D">
            <w:pPr>
              <w:widowControl/>
              <w:jc w:val="center"/>
              <w:rPr>
                <w:rFonts w:hint="eastAsia" w:ascii="仿宋" w:hAnsi="仿宋" w:eastAsia="仿宋"/>
                <w:bCs/>
                <w:spacing w:val="20"/>
                <w:sz w:val="18"/>
                <w:szCs w:val="18"/>
              </w:rPr>
            </w:pPr>
            <w:r>
              <w:rPr>
                <w:rFonts w:ascii="仿宋" w:hAnsi="仿宋" w:eastAsia="仿宋"/>
                <w:bCs/>
                <w:spacing w:val="20"/>
                <w:sz w:val="18"/>
                <w:szCs w:val="18"/>
              </w:rPr>
              <w:t>2-</w:t>
            </w:r>
            <w:r>
              <w:rPr>
                <w:rFonts w:hint="eastAsia" w:ascii="仿宋" w:hAnsi="仿宋" w:eastAsia="仿宋"/>
                <w:bCs/>
                <w:spacing w:val="20"/>
                <w:sz w:val="18"/>
                <w:szCs w:val="18"/>
              </w:rPr>
              <w:t>2</w:t>
            </w:r>
          </w:p>
        </w:tc>
      </w:tr>
      <w:tr w14:paraId="2638B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5" w:type="dxa"/>
            <w:tcBorders>
              <w:bottom w:val="single" w:color="auto" w:sz="4" w:space="0"/>
            </w:tcBorders>
            <w:vAlign w:val="center"/>
          </w:tcPr>
          <w:p w14:paraId="7C6D0432">
            <w:pPr>
              <w:widowControl/>
              <w:jc w:val="center"/>
              <w:rPr>
                <w:rFonts w:hint="eastAsia" w:ascii="黑体" w:hAnsi="黑体" w:eastAsia="黑体"/>
                <w:bCs/>
                <w:sz w:val="18"/>
                <w:szCs w:val="18"/>
              </w:rPr>
            </w:pPr>
            <w:r>
              <w:rPr>
                <w:rFonts w:hint="eastAsia" w:ascii="黑体" w:hAnsi="黑体" w:eastAsia="黑体"/>
                <w:bCs/>
                <w:sz w:val="18"/>
                <w:szCs w:val="18"/>
              </w:rPr>
              <w:t>合计</w:t>
            </w:r>
          </w:p>
        </w:tc>
        <w:tc>
          <w:tcPr>
            <w:tcW w:w="983" w:type="dxa"/>
            <w:tcBorders>
              <w:bottom w:val="single" w:color="auto" w:sz="4" w:space="0"/>
            </w:tcBorders>
            <w:vAlign w:val="center"/>
          </w:tcPr>
          <w:p w14:paraId="7D46E99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c>
          <w:tcPr>
            <w:tcW w:w="641" w:type="dxa"/>
            <w:tcBorders>
              <w:bottom w:val="single" w:color="auto" w:sz="4" w:space="0"/>
            </w:tcBorders>
            <w:vAlign w:val="center"/>
          </w:tcPr>
          <w:p w14:paraId="247C811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12</w:t>
            </w:r>
          </w:p>
        </w:tc>
        <w:tc>
          <w:tcPr>
            <w:tcW w:w="764" w:type="dxa"/>
            <w:tcBorders>
              <w:bottom w:val="single" w:color="auto" w:sz="4" w:space="0"/>
            </w:tcBorders>
            <w:vAlign w:val="center"/>
          </w:tcPr>
          <w:p w14:paraId="5771994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192</w:t>
            </w:r>
          </w:p>
        </w:tc>
        <w:tc>
          <w:tcPr>
            <w:tcW w:w="791" w:type="dxa"/>
            <w:tcBorders>
              <w:bottom w:val="single" w:color="auto" w:sz="4" w:space="0"/>
            </w:tcBorders>
            <w:vAlign w:val="center"/>
          </w:tcPr>
          <w:p w14:paraId="3C12735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104</w:t>
            </w:r>
          </w:p>
        </w:tc>
        <w:tc>
          <w:tcPr>
            <w:tcW w:w="736" w:type="dxa"/>
            <w:tcBorders>
              <w:bottom w:val="single" w:color="auto" w:sz="4" w:space="0"/>
            </w:tcBorders>
            <w:vAlign w:val="center"/>
          </w:tcPr>
          <w:p w14:paraId="2AE09B91">
            <w:pPr>
              <w:widowControl/>
              <w:jc w:val="center"/>
              <w:rPr>
                <w:rFonts w:hint="eastAsia" w:ascii="仿宋" w:hAnsi="仿宋" w:eastAsia="仿宋"/>
                <w:b/>
                <w:spacing w:val="20"/>
                <w:sz w:val="18"/>
                <w:szCs w:val="18"/>
              </w:rPr>
            </w:pPr>
            <w:r>
              <w:rPr>
                <w:rFonts w:hint="eastAsia" w:ascii="仿宋" w:hAnsi="仿宋" w:eastAsia="仿宋"/>
                <w:b/>
                <w:spacing w:val="20"/>
                <w:sz w:val="18"/>
                <w:szCs w:val="18"/>
              </w:rPr>
              <w:t>88</w:t>
            </w:r>
          </w:p>
        </w:tc>
        <w:tc>
          <w:tcPr>
            <w:tcW w:w="723" w:type="dxa"/>
            <w:tcBorders>
              <w:bottom w:val="single" w:color="auto" w:sz="4" w:space="0"/>
            </w:tcBorders>
            <w:vAlign w:val="center"/>
          </w:tcPr>
          <w:p w14:paraId="05BCC8E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161</w:t>
            </w:r>
          </w:p>
        </w:tc>
        <w:tc>
          <w:tcPr>
            <w:tcW w:w="730" w:type="dxa"/>
            <w:tcBorders>
              <w:bottom w:val="single" w:color="auto" w:sz="4" w:space="0"/>
            </w:tcBorders>
            <w:vAlign w:val="center"/>
          </w:tcPr>
          <w:p w14:paraId="36749E8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31</w:t>
            </w:r>
          </w:p>
        </w:tc>
        <w:tc>
          <w:tcPr>
            <w:tcW w:w="780" w:type="dxa"/>
            <w:tcBorders>
              <w:bottom w:val="single" w:color="auto" w:sz="4" w:space="0"/>
            </w:tcBorders>
            <w:vAlign w:val="center"/>
          </w:tcPr>
          <w:p w14:paraId="32F2CC55">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c>
          <w:tcPr>
            <w:tcW w:w="1230" w:type="dxa"/>
            <w:tcBorders>
              <w:bottom w:val="single" w:color="auto" w:sz="4" w:space="0"/>
            </w:tcBorders>
            <w:vAlign w:val="center"/>
          </w:tcPr>
          <w:p w14:paraId="2795953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c>
          <w:tcPr>
            <w:tcW w:w="733" w:type="dxa"/>
            <w:tcBorders>
              <w:bottom w:val="single" w:color="auto" w:sz="4" w:space="0"/>
            </w:tcBorders>
            <w:vAlign w:val="center"/>
          </w:tcPr>
          <w:p w14:paraId="3089817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r>
    </w:tbl>
    <w:p w14:paraId="69EE094D">
      <w:pPr>
        <w:widowControl/>
        <w:spacing w:line="360" w:lineRule="auto"/>
        <w:rPr>
          <w:bCs/>
          <w:sz w:val="24"/>
          <w:szCs w:val="24"/>
        </w:rPr>
      </w:pPr>
      <w:r>
        <w:rPr>
          <w:rFonts w:hint="eastAsia"/>
          <w:bCs/>
          <w:sz w:val="24"/>
          <w:szCs w:val="24"/>
        </w:rPr>
        <w:t>备注：</w:t>
      </w:r>
    </w:p>
    <w:p w14:paraId="6BE7C788">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5DE9036">
      <w:pPr>
        <w:widowControl/>
        <w:rPr>
          <w:rFonts w:hint="eastAsia" w:ascii="宋体" w:hAnsi="宋体" w:cs="宋体"/>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rPr>
        <w:t>课程代码由教务处统一编制；“开课学期”根据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填写，“考核方式”填写考试、考查</w:t>
      </w:r>
      <w:r>
        <w:rPr>
          <w:rFonts w:hint="eastAsia" w:ascii="宋体" w:hAnsi="宋体" w:cs="宋体"/>
          <w:sz w:val="24"/>
          <w:szCs w:val="24"/>
        </w:rPr>
        <w:t>；</w:t>
      </w:r>
    </w:p>
    <w:p w14:paraId="364F3F5C">
      <w:pPr>
        <w:widowControl/>
        <w:rPr>
          <w:rFonts w:ascii="仿宋_GB2312" w:eastAsia="仿宋_GB2312"/>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14:paraId="734F863D">
      <w:pPr>
        <w:widowControl/>
        <w:rPr>
          <w:bCs/>
          <w:color w:val="7030A0"/>
          <w:sz w:val="24"/>
          <w:szCs w:val="24"/>
        </w:rPr>
      </w:pPr>
    </w:p>
    <w:p w14:paraId="26EBF90D">
      <w:pPr>
        <w:widowControl/>
        <w:rPr>
          <w:bCs/>
          <w:sz w:val="24"/>
          <w:szCs w:val="24"/>
        </w:rPr>
      </w:pPr>
    </w:p>
    <w:p w14:paraId="193E7ACD">
      <w:pPr>
        <w:widowControl/>
        <w:ind w:firstLine="640" w:firstLineChars="200"/>
        <w:jc w:val="left"/>
        <w:rPr>
          <w:rFonts w:hint="eastAsia"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0CF9BDCD">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14:paraId="26437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110" w:type="dxa"/>
            <w:tcBorders>
              <w:top w:val="single" w:color="auto" w:sz="4" w:space="0"/>
            </w:tcBorders>
            <w:vAlign w:val="center"/>
          </w:tcPr>
          <w:p w14:paraId="63F32535">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14:paraId="01E743E4">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14:paraId="202428F1">
            <w:pPr>
              <w:widowControl/>
              <w:jc w:val="center"/>
              <w:rPr>
                <w:rFonts w:hint="eastAsia" w:ascii="黑体" w:hAnsi="黑体" w:eastAsia="黑体" w:cs="黑体"/>
                <w:bCs/>
                <w:sz w:val="28"/>
                <w:szCs w:val="28"/>
              </w:rPr>
            </w:pPr>
            <w:r>
              <w:rPr>
                <w:rFonts w:hint="eastAsia" w:ascii="黑体" w:hAnsi="黑体" w:eastAsia="黑体" w:cs="黑体"/>
                <w:b/>
                <w:spacing w:val="20"/>
                <w:sz w:val="28"/>
                <w:szCs w:val="28"/>
              </w:rPr>
              <w:t>课程简介</w:t>
            </w:r>
          </w:p>
        </w:tc>
      </w:tr>
      <w:tr w14:paraId="3FE3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2" w:hRule="exact"/>
          <w:jc w:val="center"/>
        </w:trPr>
        <w:tc>
          <w:tcPr>
            <w:tcW w:w="1110" w:type="dxa"/>
            <w:vAlign w:val="center"/>
          </w:tcPr>
          <w:p w14:paraId="056CD42A">
            <w:pPr>
              <w:widowControl/>
              <w:jc w:val="center"/>
              <w:rPr>
                <w:rFonts w:eastAsia="黑体"/>
                <w:bCs/>
                <w:sz w:val="21"/>
                <w:szCs w:val="21"/>
              </w:rPr>
            </w:pPr>
            <w:r>
              <w:rPr>
                <w:rFonts w:eastAsia="黑体"/>
                <w:bCs/>
                <w:sz w:val="21"/>
                <w:szCs w:val="21"/>
              </w:rPr>
              <w:t>1</w:t>
            </w:r>
          </w:p>
        </w:tc>
        <w:tc>
          <w:tcPr>
            <w:tcW w:w="2118" w:type="dxa"/>
            <w:vAlign w:val="center"/>
          </w:tcPr>
          <w:p w14:paraId="3B13FCF7">
            <w:pPr>
              <w:widowControl/>
              <w:jc w:val="center"/>
              <w:rPr>
                <w:rFonts w:eastAsia="黑体"/>
                <w:bCs/>
                <w:sz w:val="21"/>
                <w:szCs w:val="21"/>
              </w:rPr>
            </w:pPr>
            <w:r>
              <w:rPr>
                <w:rFonts w:eastAsia="仿宋"/>
                <w:bCs/>
                <w:spacing w:val="20"/>
                <w:sz w:val="21"/>
                <w:szCs w:val="21"/>
              </w:rPr>
              <w:t>数字经济概论</w:t>
            </w:r>
          </w:p>
        </w:tc>
        <w:tc>
          <w:tcPr>
            <w:tcW w:w="5922" w:type="dxa"/>
            <w:tcBorders>
              <w:top w:val="single" w:color="auto" w:sz="4" w:space="0"/>
              <w:bottom w:val="single" w:color="auto" w:sz="4" w:space="0"/>
            </w:tcBorders>
            <w:vAlign w:val="center"/>
          </w:tcPr>
          <w:p w14:paraId="32B409A9">
            <w:pPr>
              <w:widowControl/>
              <w:jc w:val="left"/>
              <w:rPr>
                <w:rFonts w:eastAsia="仿宋"/>
                <w:bCs/>
                <w:sz w:val="21"/>
                <w:szCs w:val="21"/>
              </w:rPr>
            </w:pPr>
            <w:r>
              <w:rPr>
                <w:rFonts w:hint="eastAsia" w:eastAsia="仿宋"/>
                <w:bCs/>
                <w:sz w:val="21"/>
                <w:szCs w:val="21"/>
              </w:rPr>
              <w:t>本课程是从经济学视角研究数字化问题的基础课程，课程主要包括以下内容：首先介绍数字经济的理论基础，包括数据要素、数字技术与生产活动、数字化创新；其次重点研究数字市场运行规律，包括需求牵引供给、数字化赋能和信息规则；再次对数字市场主体进行介绍，包括数字产业化与产业数字化，平台化、服务化和智能化，数字生态，数字贸易等；最后介绍数字经济对社会福利的影响，包括数字红利和数字鸿沟。课程主要是采用理论知识的授课形式，并借鉴国内外典型案例，帮助学生更全面了解中国数字经济发展情况，实现知识传授、价值塑造和能力培养的多元统一。</w:t>
            </w:r>
          </w:p>
        </w:tc>
      </w:tr>
      <w:tr w14:paraId="257AB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4" w:hRule="exact"/>
          <w:jc w:val="center"/>
        </w:trPr>
        <w:tc>
          <w:tcPr>
            <w:tcW w:w="1110" w:type="dxa"/>
            <w:vAlign w:val="center"/>
          </w:tcPr>
          <w:p w14:paraId="11EA6D42">
            <w:pPr>
              <w:widowControl/>
              <w:jc w:val="center"/>
              <w:rPr>
                <w:rFonts w:eastAsia="黑体"/>
                <w:bCs/>
                <w:sz w:val="21"/>
                <w:szCs w:val="21"/>
              </w:rPr>
            </w:pPr>
            <w:r>
              <w:rPr>
                <w:rFonts w:eastAsia="黑体"/>
                <w:bCs/>
                <w:sz w:val="21"/>
                <w:szCs w:val="21"/>
              </w:rPr>
              <w:t>2</w:t>
            </w:r>
          </w:p>
        </w:tc>
        <w:tc>
          <w:tcPr>
            <w:tcW w:w="2118" w:type="dxa"/>
            <w:vAlign w:val="center"/>
          </w:tcPr>
          <w:p w14:paraId="696E40B6">
            <w:pPr>
              <w:widowControl/>
              <w:jc w:val="center"/>
              <w:rPr>
                <w:rFonts w:eastAsia="黑体"/>
                <w:bCs/>
                <w:sz w:val="21"/>
                <w:szCs w:val="21"/>
              </w:rPr>
            </w:pPr>
            <w:r>
              <w:rPr>
                <w:rFonts w:eastAsia="仿宋"/>
                <w:bCs/>
                <w:spacing w:val="20"/>
                <w:sz w:val="21"/>
                <w:szCs w:val="21"/>
              </w:rPr>
              <w:t>数字贸易</w:t>
            </w:r>
          </w:p>
        </w:tc>
        <w:tc>
          <w:tcPr>
            <w:tcW w:w="5922" w:type="dxa"/>
            <w:tcBorders>
              <w:top w:val="single" w:color="auto" w:sz="4" w:space="0"/>
              <w:bottom w:val="single" w:color="auto" w:sz="4" w:space="0"/>
            </w:tcBorders>
            <w:vAlign w:val="center"/>
          </w:tcPr>
          <w:p w14:paraId="4F9F1879">
            <w:pPr>
              <w:widowControl/>
              <w:jc w:val="left"/>
              <w:rPr>
                <w:rFonts w:eastAsia="仿宋"/>
                <w:bCs/>
                <w:sz w:val="21"/>
                <w:szCs w:val="21"/>
              </w:rPr>
            </w:pPr>
            <w:r>
              <w:rPr>
                <w:rFonts w:hint="eastAsia" w:eastAsia="仿宋"/>
                <w:bCs/>
                <w:sz w:val="21"/>
                <w:szCs w:val="21"/>
              </w:rPr>
              <w:t>本课程致力于深度融合数字经济和国际贸易领域的知识，培养学生在全球数字经济中具备卓越竞争力的专业技能和国际化视野，为企业的数字化转型和国际化发展提供智力支持，为我国数字经济的高质量发展和包容性发展培养一流人材。课程主要涵盖数字贸易规则、数字支付等方面的知识和内容，以理论学习为牵引，以思维培养为优先，以实践应用为目标。教学形式多样，教师传授与学生讨论相结合，传统课堂和智能课堂相结合，案例分析和实地调研相结合。通过该课程的系统学习，学生可以深入了解数字贸易的理论基础，认识数字贸易在全球贸易中的地位与作用，掌握通过数字化手段实现跨境业务的应用技能。</w:t>
            </w:r>
          </w:p>
        </w:tc>
      </w:tr>
      <w:tr w14:paraId="4D1BC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9" w:hRule="exact"/>
          <w:jc w:val="center"/>
        </w:trPr>
        <w:tc>
          <w:tcPr>
            <w:tcW w:w="1110" w:type="dxa"/>
            <w:vAlign w:val="center"/>
          </w:tcPr>
          <w:p w14:paraId="6FCEE517">
            <w:pPr>
              <w:widowControl/>
              <w:jc w:val="center"/>
              <w:rPr>
                <w:rFonts w:eastAsia="黑体"/>
                <w:bCs/>
                <w:sz w:val="21"/>
                <w:szCs w:val="21"/>
              </w:rPr>
            </w:pPr>
            <w:r>
              <w:rPr>
                <w:rFonts w:eastAsia="黑体"/>
                <w:bCs/>
                <w:sz w:val="21"/>
                <w:szCs w:val="21"/>
              </w:rPr>
              <w:t>3</w:t>
            </w:r>
          </w:p>
        </w:tc>
        <w:tc>
          <w:tcPr>
            <w:tcW w:w="2118" w:type="dxa"/>
            <w:vAlign w:val="center"/>
          </w:tcPr>
          <w:p w14:paraId="6F37873B">
            <w:pPr>
              <w:widowControl/>
              <w:jc w:val="center"/>
              <w:rPr>
                <w:rFonts w:eastAsia="黑体"/>
                <w:bCs/>
                <w:sz w:val="21"/>
                <w:szCs w:val="21"/>
              </w:rPr>
            </w:pPr>
            <w:r>
              <w:rPr>
                <w:rFonts w:hint="eastAsia" w:eastAsia="仿宋"/>
                <w:bCs/>
                <w:spacing w:val="20"/>
                <w:sz w:val="21"/>
                <w:szCs w:val="21"/>
              </w:rPr>
              <w:t>信息</w:t>
            </w:r>
            <w:r>
              <w:rPr>
                <w:rFonts w:eastAsia="仿宋"/>
                <w:bCs/>
                <w:spacing w:val="20"/>
                <w:sz w:val="21"/>
                <w:szCs w:val="21"/>
              </w:rPr>
              <w:t>网络经济学</w:t>
            </w:r>
          </w:p>
        </w:tc>
        <w:tc>
          <w:tcPr>
            <w:tcW w:w="5922" w:type="dxa"/>
            <w:tcBorders>
              <w:top w:val="single" w:color="auto" w:sz="4" w:space="0"/>
              <w:bottom w:val="single" w:color="auto" w:sz="4" w:space="0"/>
            </w:tcBorders>
            <w:vAlign w:val="center"/>
          </w:tcPr>
          <w:p w14:paraId="1904180F">
            <w:pPr>
              <w:widowControl/>
              <w:jc w:val="left"/>
              <w:rPr>
                <w:rFonts w:eastAsia="仿宋"/>
                <w:bCs/>
                <w:sz w:val="21"/>
                <w:szCs w:val="21"/>
              </w:rPr>
            </w:pPr>
            <w:r>
              <w:rPr>
                <w:rFonts w:hint="eastAsia" w:eastAsia="仿宋"/>
                <w:bCs/>
                <w:sz w:val="21"/>
                <w:szCs w:val="21"/>
              </w:rPr>
              <w:t>本课程是一门研究网络技术、数字经济对经济活动和市场行为产生影响的学科，探讨数字技术如何改变市场结构、商业模式和消费者行为，并研究与网络相关的经济问题和策略。课程主要包括以下内容：首先介绍网络经济学的概念、特征及理论基础。第1章到第3章分别阐述了互联网和数字技术对产业结构、市场竞争、创新和就业等方面的影响。第4章到第6章分别介绍数据驱动的商业模式，探索数据的收集、分析和应用对商业模式创新和市场决策的影响。第7章到第10章分别讨论数字营销和在线广告、电子支付和金融科技等。第11章至第12章分别讨论数字隐私和网络安全。课程主要是采用理论知识的授课形式，并借鉴国内外典型案例。</w:t>
            </w:r>
          </w:p>
        </w:tc>
      </w:tr>
      <w:tr w14:paraId="4DC62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7" w:hRule="exact"/>
          <w:jc w:val="center"/>
        </w:trPr>
        <w:tc>
          <w:tcPr>
            <w:tcW w:w="1110" w:type="dxa"/>
            <w:vAlign w:val="center"/>
          </w:tcPr>
          <w:p w14:paraId="3CD4911A">
            <w:pPr>
              <w:widowControl/>
              <w:jc w:val="center"/>
              <w:rPr>
                <w:rFonts w:eastAsia="黑体"/>
                <w:bCs/>
                <w:sz w:val="21"/>
                <w:szCs w:val="21"/>
              </w:rPr>
            </w:pPr>
            <w:r>
              <w:rPr>
                <w:rFonts w:eastAsia="黑体"/>
                <w:bCs/>
                <w:sz w:val="21"/>
                <w:szCs w:val="21"/>
              </w:rPr>
              <w:t>4</w:t>
            </w:r>
          </w:p>
        </w:tc>
        <w:tc>
          <w:tcPr>
            <w:tcW w:w="2118" w:type="dxa"/>
            <w:vAlign w:val="center"/>
          </w:tcPr>
          <w:p w14:paraId="41CF6744">
            <w:pPr>
              <w:widowControl/>
              <w:jc w:val="center"/>
              <w:rPr>
                <w:rFonts w:eastAsia="黑体"/>
                <w:bCs/>
                <w:sz w:val="21"/>
                <w:szCs w:val="21"/>
              </w:rPr>
            </w:pPr>
            <w:r>
              <w:rPr>
                <w:rFonts w:eastAsia="仿宋"/>
                <w:bCs/>
                <w:spacing w:val="20"/>
                <w:sz w:val="21"/>
                <w:szCs w:val="21"/>
              </w:rPr>
              <w:t>人工智能经济学</w:t>
            </w:r>
          </w:p>
        </w:tc>
        <w:tc>
          <w:tcPr>
            <w:tcW w:w="5922" w:type="dxa"/>
            <w:tcBorders>
              <w:top w:val="single" w:color="auto" w:sz="4" w:space="0"/>
              <w:bottom w:val="single" w:color="auto" w:sz="4" w:space="0"/>
            </w:tcBorders>
            <w:vAlign w:val="center"/>
          </w:tcPr>
          <w:p w14:paraId="18C4B7A7">
            <w:pPr>
              <w:widowControl/>
              <w:jc w:val="left"/>
              <w:rPr>
                <w:rFonts w:eastAsia="仿宋"/>
                <w:bCs/>
                <w:sz w:val="21"/>
                <w:szCs w:val="21"/>
              </w:rPr>
            </w:pPr>
            <w:r>
              <w:rPr>
                <w:rFonts w:hint="eastAsia" w:ascii="仿宋" w:hAnsi="仿宋" w:eastAsia="仿宋"/>
                <w:bCs/>
                <w:sz w:val="21"/>
                <w:szCs w:val="21"/>
              </w:rPr>
              <w:t>本课程旨在探讨如何将人工智能技术运用到微观和宏观经济学中增进学生对经济运行的理解。主要探讨包括搜索技术、知识图谱、智能推理、深度学习、强化学习、推荐技术等人工智能技术对消费行为、生产行为、平台市场、就业市场、经济增长、收入分配等经济领域的影响及应用。教学设计包括人工智能的基础理论介绍、经济学理论阐释、基础算法结构等理论教学环节，以及人工智能企业运用现实案例分析与算法学习等上机操作环节。学完本门课程，学生预计将对人工智能影响现实经济的经济学机制有深入的理解，对人工智能的技术逻辑和作用过程有基本且全面的认识，具有基本的运用人工智能解释和解决现实经济问题的能力。</w:t>
            </w:r>
          </w:p>
        </w:tc>
      </w:tr>
      <w:tr w14:paraId="175F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6" w:hRule="exact"/>
          <w:jc w:val="center"/>
        </w:trPr>
        <w:tc>
          <w:tcPr>
            <w:tcW w:w="1110" w:type="dxa"/>
            <w:vAlign w:val="center"/>
          </w:tcPr>
          <w:p w14:paraId="46D7EAC9">
            <w:pPr>
              <w:widowControl/>
              <w:jc w:val="center"/>
              <w:rPr>
                <w:rFonts w:eastAsia="黑体"/>
                <w:bCs/>
                <w:sz w:val="21"/>
                <w:szCs w:val="21"/>
              </w:rPr>
            </w:pPr>
            <w:r>
              <w:rPr>
                <w:rFonts w:eastAsia="黑体"/>
                <w:bCs/>
                <w:sz w:val="21"/>
                <w:szCs w:val="21"/>
              </w:rPr>
              <w:t>5</w:t>
            </w:r>
          </w:p>
        </w:tc>
        <w:tc>
          <w:tcPr>
            <w:tcW w:w="2118" w:type="dxa"/>
            <w:vAlign w:val="center"/>
          </w:tcPr>
          <w:p w14:paraId="64570EA3">
            <w:pPr>
              <w:widowControl/>
              <w:jc w:val="center"/>
              <w:rPr>
                <w:rFonts w:eastAsia="黑体"/>
                <w:bCs/>
                <w:sz w:val="21"/>
                <w:szCs w:val="21"/>
              </w:rPr>
            </w:pPr>
            <w:r>
              <w:rPr>
                <w:rFonts w:eastAsia="仿宋"/>
                <w:bCs/>
                <w:spacing w:val="20"/>
                <w:sz w:val="21"/>
                <w:szCs w:val="21"/>
              </w:rPr>
              <w:t>数字产业创新</w:t>
            </w:r>
          </w:p>
        </w:tc>
        <w:tc>
          <w:tcPr>
            <w:tcW w:w="5922" w:type="dxa"/>
            <w:tcBorders>
              <w:top w:val="single" w:color="auto" w:sz="4" w:space="0"/>
              <w:bottom w:val="single" w:color="auto" w:sz="4" w:space="0"/>
            </w:tcBorders>
            <w:vAlign w:val="center"/>
          </w:tcPr>
          <w:p w14:paraId="49A69998">
            <w:pPr>
              <w:widowControl/>
              <w:jc w:val="left"/>
              <w:rPr>
                <w:rFonts w:eastAsia="仿宋"/>
                <w:bCs/>
                <w:sz w:val="21"/>
                <w:szCs w:val="21"/>
              </w:rPr>
            </w:pPr>
            <w:r>
              <w:rPr>
                <w:rFonts w:hint="eastAsia" w:ascii="仿宋" w:hAnsi="仿宋" w:eastAsia="仿宋"/>
                <w:bCs/>
                <w:sz w:val="21"/>
                <w:szCs w:val="21"/>
              </w:rPr>
              <w:t>人工智能、大数据和云计算等新一代技术的广泛发展，驱动着产业创新的范式变迁，其深度、广度和烈度，百年罕遇。产业创新的基础逻辑正在被挑战、重构和塑形中。面对数字经济背景下层出不穷的新产业、新业态、新模式、新实践，如何分析数字产业创新的发生、认识产业创新的演进逻辑，成为数字经济时代的必修课。本课程以产业创新的动态分析模型为基本框架，整合全球范围内数字经济产业创新案例及传统企业数字化转型的最新实践，致力于：（1）为将来在相关领域发展的同学提供关于产业创新的“知识地图”；（2）帮助学生建立动态产创新分析框架，以理解数字经济时代产业创新的底层逻辑。</w:t>
            </w:r>
          </w:p>
        </w:tc>
      </w:tr>
      <w:tr w14:paraId="349A6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4" w:hRule="exact"/>
          <w:jc w:val="center"/>
        </w:trPr>
        <w:tc>
          <w:tcPr>
            <w:tcW w:w="1110" w:type="dxa"/>
            <w:vAlign w:val="center"/>
          </w:tcPr>
          <w:p w14:paraId="3922C0B6">
            <w:pPr>
              <w:widowControl/>
              <w:jc w:val="center"/>
              <w:rPr>
                <w:rFonts w:eastAsia="黑体"/>
                <w:bCs/>
                <w:sz w:val="21"/>
                <w:szCs w:val="21"/>
              </w:rPr>
            </w:pPr>
            <w:r>
              <w:rPr>
                <w:rFonts w:eastAsia="黑体"/>
                <w:bCs/>
                <w:sz w:val="21"/>
                <w:szCs w:val="21"/>
              </w:rPr>
              <w:t>6</w:t>
            </w:r>
          </w:p>
        </w:tc>
        <w:tc>
          <w:tcPr>
            <w:tcW w:w="2118" w:type="dxa"/>
            <w:vAlign w:val="center"/>
          </w:tcPr>
          <w:p w14:paraId="0547D086">
            <w:pPr>
              <w:widowControl/>
              <w:jc w:val="center"/>
              <w:rPr>
                <w:rFonts w:eastAsia="黑体"/>
                <w:bCs/>
                <w:sz w:val="21"/>
                <w:szCs w:val="21"/>
              </w:rPr>
            </w:pPr>
            <w:r>
              <w:rPr>
                <w:rFonts w:eastAsia="仿宋"/>
                <w:bCs/>
                <w:spacing w:val="20"/>
                <w:sz w:val="21"/>
                <w:szCs w:val="21"/>
              </w:rPr>
              <w:t>数字经济理论与应用前沿</w:t>
            </w:r>
          </w:p>
        </w:tc>
        <w:tc>
          <w:tcPr>
            <w:tcW w:w="5922" w:type="dxa"/>
            <w:tcBorders>
              <w:top w:val="single" w:color="auto" w:sz="4" w:space="0"/>
              <w:bottom w:val="single" w:color="auto" w:sz="4" w:space="0"/>
            </w:tcBorders>
            <w:vAlign w:val="center"/>
          </w:tcPr>
          <w:p w14:paraId="76D06AB4">
            <w:pPr>
              <w:widowControl/>
              <w:jc w:val="left"/>
              <w:rPr>
                <w:rFonts w:eastAsia="仿宋"/>
                <w:bCs/>
                <w:sz w:val="21"/>
                <w:szCs w:val="21"/>
              </w:rPr>
            </w:pPr>
            <w:r>
              <w:rPr>
                <w:rFonts w:hint="eastAsia" w:eastAsia="仿宋"/>
                <w:bCs/>
                <w:sz w:val="21"/>
                <w:szCs w:val="21"/>
              </w:rPr>
              <w:t>“数字经济理论与应用前沿”课程面向全校本科生开设，力图通过数字技术、数据要素、数实融合、数字金融、数字贸易、平台经济、数字经济的测度、数字知识产权保护、数据治理等专题的教学与研讨，使学生系统掌握数字经济的基本内涵、总体发展状况与结构性特征，数字经济的主要经济形态及其对经济社会产生的深刻影响；充分理解做强做优做大数字经济的战略意义以及统筹数字经济发展和确保网络安全的重要性和必要性。课程邀请国内外数字经济领域的学界、政界、业界专家，采取讲座形式开展教学。课程注重理论与实践相结合、本土立场与国际视野相统一，引导学生关注数字经济问题，强化学生运用经济学理论解释数字经济发展，并开展经验研究和比较分析的能力。</w:t>
            </w:r>
          </w:p>
        </w:tc>
      </w:tr>
    </w:tbl>
    <w:p w14:paraId="2F1CB1E2"/>
    <w:sectPr>
      <w:footerReference r:id="rId3" w:type="default"/>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86F300-D53E-4C09-B37C-F9ADFA70C3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A35B1B7-9873-479A-93DA-7AC84027E65C}"/>
  </w:font>
  <w:font w:name="方正小标宋简体">
    <w:panose1 w:val="02000000000000000000"/>
    <w:charset w:val="86"/>
    <w:family w:val="auto"/>
    <w:pitch w:val="default"/>
    <w:sig w:usb0="00000001" w:usb1="080E0000" w:usb2="00000000" w:usb3="00000000" w:csb0="00040000" w:csb1="00000000"/>
    <w:embedRegular r:id="rId3" w:fontKey="{0FF9068B-FCF8-4A28-9397-727EE9529E12}"/>
  </w:font>
  <w:font w:name="仿宋_GB2312">
    <w:panose1 w:val="02010609030101010101"/>
    <w:charset w:val="86"/>
    <w:family w:val="modern"/>
    <w:pitch w:val="default"/>
    <w:sig w:usb0="00000001" w:usb1="080E0000" w:usb2="00000000" w:usb3="00000000" w:csb0="00040000" w:csb1="00000000"/>
    <w:embedRegular r:id="rId4" w:fontKey="{B5296814-48FB-4F05-8678-861927FBD7C5}"/>
  </w:font>
  <w:font w:name="仿宋">
    <w:panose1 w:val="02010609060101010101"/>
    <w:charset w:val="86"/>
    <w:family w:val="modern"/>
    <w:pitch w:val="default"/>
    <w:sig w:usb0="800002BF" w:usb1="38CF7CFA" w:usb2="00000016" w:usb3="00000000" w:csb0="00040001" w:csb1="00000000"/>
    <w:embedRegular r:id="rId5" w:fontKey="{CCA8347A-CD87-4741-9B2F-EA9133BE1918}"/>
  </w:font>
  <w:font w:name="Cambria">
    <w:panose1 w:val="02040503050406030204"/>
    <w:charset w:val="00"/>
    <w:family w:val="roman"/>
    <w:pitch w:val="default"/>
    <w:sig w:usb0="E00006FF" w:usb1="420024FF" w:usb2="02000000" w:usb3="00000000" w:csb0="2000019F" w:csb1="00000000"/>
    <w:embedRegular r:id="rId6" w:fontKey="{E4C681B0-4088-4FBC-956B-6200C456B6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8258819"/>
      <w:docPartObj>
        <w:docPartGallery w:val="AutoText"/>
      </w:docPartObj>
    </w:sdtPr>
    <w:sdtContent>
      <w:p w14:paraId="52A3D92A">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5MmIxMDA0NmUxMTI3OTI0ODcyOTk2MmYwM2I1NGIifQ=="/>
  </w:docVars>
  <w:rsids>
    <w:rsidRoot w:val="0AE32D0C"/>
    <w:rsid w:val="00034A2A"/>
    <w:rsid w:val="0003616E"/>
    <w:rsid w:val="000703B8"/>
    <w:rsid w:val="00227076"/>
    <w:rsid w:val="00295603"/>
    <w:rsid w:val="002C645C"/>
    <w:rsid w:val="002D1061"/>
    <w:rsid w:val="00344813"/>
    <w:rsid w:val="00372B72"/>
    <w:rsid w:val="003B3ECE"/>
    <w:rsid w:val="003C43CC"/>
    <w:rsid w:val="00455246"/>
    <w:rsid w:val="00472599"/>
    <w:rsid w:val="004B5A3E"/>
    <w:rsid w:val="004C268A"/>
    <w:rsid w:val="005056F3"/>
    <w:rsid w:val="00541B8C"/>
    <w:rsid w:val="005A41A7"/>
    <w:rsid w:val="005D583E"/>
    <w:rsid w:val="00687051"/>
    <w:rsid w:val="00735C98"/>
    <w:rsid w:val="00835185"/>
    <w:rsid w:val="009C32BB"/>
    <w:rsid w:val="00A60CF5"/>
    <w:rsid w:val="00A80D14"/>
    <w:rsid w:val="00AB34E9"/>
    <w:rsid w:val="00B837E0"/>
    <w:rsid w:val="00BB0298"/>
    <w:rsid w:val="00BE5260"/>
    <w:rsid w:val="00BF191D"/>
    <w:rsid w:val="00C6040F"/>
    <w:rsid w:val="00C80AE2"/>
    <w:rsid w:val="00C97A7A"/>
    <w:rsid w:val="00CB4280"/>
    <w:rsid w:val="00CD4BBC"/>
    <w:rsid w:val="00D01441"/>
    <w:rsid w:val="00D158C6"/>
    <w:rsid w:val="00D47AF8"/>
    <w:rsid w:val="00D52085"/>
    <w:rsid w:val="00D529C8"/>
    <w:rsid w:val="00D617A2"/>
    <w:rsid w:val="00D7253D"/>
    <w:rsid w:val="00D773F0"/>
    <w:rsid w:val="00DF6BE9"/>
    <w:rsid w:val="00E05A85"/>
    <w:rsid w:val="00E746CB"/>
    <w:rsid w:val="00EA1D74"/>
    <w:rsid w:val="00F16F11"/>
    <w:rsid w:val="02641DFB"/>
    <w:rsid w:val="0AE32D0C"/>
    <w:rsid w:val="1165300E"/>
    <w:rsid w:val="175A6EDF"/>
    <w:rsid w:val="1EEF22CE"/>
    <w:rsid w:val="21BF3E1B"/>
    <w:rsid w:val="3D7106DB"/>
    <w:rsid w:val="46E13E64"/>
    <w:rsid w:val="496038EF"/>
    <w:rsid w:val="5C2667BC"/>
    <w:rsid w:val="5F993529"/>
    <w:rsid w:val="60E0197E"/>
    <w:rsid w:val="6221580D"/>
    <w:rsid w:val="64844FF7"/>
    <w:rsid w:val="649F2FD7"/>
    <w:rsid w:val="687B4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字符"/>
    <w:basedOn w:val="5"/>
    <w:link w:val="3"/>
    <w:qFormat/>
    <w:uiPriority w:val="0"/>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 w:type="paragraph" w:customStyle="1" w:styleId="9">
    <w:name w:val="Revision"/>
    <w:hidden/>
    <w:unhideWhenUsed/>
    <w:qFormat/>
    <w:uiPriority w:val="99"/>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3061</Words>
  <Characters>3193</Characters>
  <Lines>237</Lines>
  <Paragraphs>281</Paragraphs>
  <TotalTime>27</TotalTime>
  <ScaleCrop>false</ScaleCrop>
  <LinksUpToDate>false</LinksUpToDate>
  <CharactersWithSpaces>3207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2024-07-11T04:29:00Z</dcterms:created>
  <dc:creator>Shine_ZHOU</dc:creator>
  <cp:lastModifiedBy>楠楠</cp:lastModifiedBy>
  <dcterms:modified xsi:type="dcterms:W3CDTF">2025-06-16T02:41:19Z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83BB9E0B8FFD48FCBA235EC0C93B25EA_13</vt:lpwstr>
  </property>
  <property fmtid="{D5CDD505-2E9C-101B-9397-08002B2CF9AE}" pid="4" name="KSOTemplateDocerSaveRecord">
    <vt:lpwstr>eyJoZGlkIjoiMzg1NjI1MjUzZWY5ZmJlNTY4MmI5MDJjNzFjOGQ3YTEiLCJ1c2VySWQiOiI4OTc5MDY4NTAifQ==</vt:lpwstr>
  </property>
</Properties>
</file>