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E575B3">
      <w:pPr>
        <w:spacing w:before="156" w:beforeLines="50" w:after="156" w:afterLines="50" w:line="480" w:lineRule="exact"/>
        <w:ind w:left="558" w:hanging="558" w:hangingChars="155"/>
        <w:jc w:val="center"/>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bCs/>
          <w:sz w:val="36"/>
          <w:szCs w:val="36"/>
        </w:rPr>
        <w:t>金融学院金融智能微专业人才培养方案</w:t>
      </w:r>
    </w:p>
    <w:p w14:paraId="26E1227B">
      <w:pPr>
        <w:widowControl/>
        <w:spacing w:after="156" w:line="0" w:lineRule="atLeast"/>
        <w:ind w:firstLine="560" w:firstLineChars="200"/>
        <w:jc w:val="left"/>
        <w:rPr>
          <w:rFonts w:hint="eastAsia" w:ascii="黑体" w:hAnsi="黑体" w:eastAsia="黑体" w:cs="黑体"/>
          <w:bCs/>
          <w:sz w:val="28"/>
          <w:szCs w:val="28"/>
        </w:rPr>
      </w:pPr>
    </w:p>
    <w:p w14:paraId="25F482FB">
      <w:pPr>
        <w:widowControl/>
        <w:spacing w:after="156" w:line="0" w:lineRule="atLeast"/>
        <w:ind w:firstLine="560" w:firstLineChars="200"/>
        <w:jc w:val="left"/>
        <w:rPr>
          <w:rFonts w:hint="eastAsia" w:ascii="黑体" w:hAnsi="黑体" w:eastAsia="黑体" w:cs="黑体"/>
          <w:bCs/>
          <w:sz w:val="28"/>
          <w:szCs w:val="28"/>
        </w:rPr>
      </w:pPr>
      <w:r>
        <w:rPr>
          <w:rFonts w:hint="eastAsia" w:ascii="黑体" w:hAnsi="黑体" w:eastAsia="黑体" w:cs="黑体"/>
          <w:bCs/>
          <w:sz w:val="28"/>
          <w:szCs w:val="28"/>
        </w:rPr>
        <w:t>一、专业培养目标</w:t>
      </w:r>
    </w:p>
    <w:p w14:paraId="305196CD">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首都经济贸易大学金融学院“金融智能”微专业以培养学生通用金融素质和人工智能通用技能为核心特色，以提升学生就业能力和综合素质为培养目标。重视学生金融知识和AI职业技能培养，结合华为成熟的AI职业资格考试包括HCIA、HCIP等内容进行课程设置。较为明确的授课目的和专业化的授课内容，一方面注重学生对金融投资分析和风险管理工具的实践应用，培养学生在复杂金融智能环境下的投融资决策和判断能力；另一方面系统化针对性的人工智能授课内容为学生参加华为人工智能专业职业资格考试（HCIA-AI、HCIP-AI-EI Developer、HCIP-AI-Ascend、HCIP-AI-Mindspore）奠定良好的知识基础，优质的校内资源助力学生获得高端人工智能职业资格证书，提高毕业就业竞争力。</w:t>
      </w:r>
    </w:p>
    <w:p w14:paraId="4512F21E">
      <w:pPr>
        <w:widowControl/>
        <w:spacing w:after="156" w:line="0" w:lineRule="atLeast"/>
        <w:ind w:firstLine="560" w:firstLineChars="200"/>
        <w:jc w:val="left"/>
        <w:rPr>
          <w:rFonts w:hint="eastAsia" w:ascii="黑体" w:hAnsi="黑体" w:eastAsia="黑体" w:cs="黑体"/>
          <w:bCs/>
          <w:sz w:val="28"/>
          <w:szCs w:val="28"/>
        </w:rPr>
      </w:pPr>
      <w:r>
        <w:rPr>
          <w:rFonts w:hint="eastAsia" w:ascii="黑体" w:hAnsi="黑体" w:eastAsia="黑体" w:cs="黑体"/>
          <w:bCs/>
          <w:sz w:val="28"/>
          <w:szCs w:val="28"/>
        </w:rPr>
        <w:t>二、毕业要求</w:t>
      </w:r>
    </w:p>
    <w:p w14:paraId="18207154">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本微专业课程原则上须组织线下集中考核，微专业课程成绩单列成绩单，计入学生学业档案。各门课程考核方式将基于过程性评价与终结性评价相结合的原则，由课程教学团队根据授课需要灵活自主确定。修读微专业的学生，学完全部课程并经考核合格后结业，可获得学校颁发的“金融投资与风险管理”微专业证书。</w:t>
      </w:r>
    </w:p>
    <w:p w14:paraId="47AEB9C0">
      <w:pPr>
        <w:spacing w:before="156" w:beforeLines="50" w:after="156" w:afterLines="50" w:line="480" w:lineRule="exact"/>
        <w:ind w:firstLine="560" w:firstLineChars="200"/>
        <w:rPr>
          <w:rFonts w:hint="eastAsia" w:ascii="宋体" w:hAnsi="宋体"/>
          <w:b/>
          <w:sz w:val="28"/>
          <w:szCs w:val="28"/>
        </w:rPr>
      </w:pPr>
      <w:r>
        <w:rPr>
          <w:rFonts w:hint="eastAsia" w:ascii="黑体" w:hAnsi="黑体" w:eastAsia="黑体" w:cs="黑体"/>
          <w:bCs/>
          <w:sz w:val="28"/>
          <w:szCs w:val="28"/>
        </w:rPr>
        <w:t>三、招生对象与条件</w:t>
      </w:r>
    </w:p>
    <w:p w14:paraId="144D2F89">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学生应具备《微观经济学》《宏观经济学》、《金融学》、《计量经济学》基础，有一定数理统计技术，有编程经验者优先。</w:t>
      </w:r>
    </w:p>
    <w:p w14:paraId="4DDD31C1">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1. 全校各专业全日制普通本科生。</w:t>
      </w:r>
    </w:p>
    <w:p w14:paraId="5E6B9ED9">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2. 学生须学有余力，主修专业无不及格课程。</w:t>
      </w:r>
    </w:p>
    <w:p w14:paraId="6078815F">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3.</w:t>
      </w:r>
      <w:r>
        <w:rPr>
          <w:rFonts w:ascii="宋体" w:hAnsi="宋体"/>
          <w:bCs/>
          <w:sz w:val="24"/>
          <w:szCs w:val="24"/>
        </w:rPr>
        <w:t xml:space="preserve"> </w:t>
      </w:r>
      <w:r>
        <w:rPr>
          <w:rFonts w:hint="eastAsia" w:ascii="宋体" w:hAnsi="宋体"/>
          <w:bCs/>
          <w:sz w:val="24"/>
          <w:szCs w:val="24"/>
        </w:rPr>
        <w:t>招生报名时间由教务处统一安排。学院负责招生、录取工作。</w:t>
      </w:r>
    </w:p>
    <w:p w14:paraId="7341DD4E">
      <w:pPr>
        <w:spacing w:before="156" w:beforeLines="50" w:after="156" w:afterLines="50" w:line="480" w:lineRule="exact"/>
        <w:ind w:firstLine="560" w:firstLineChars="200"/>
        <w:rPr>
          <w:rFonts w:hint="eastAsia" w:ascii="黑体" w:hAnsi="黑体" w:eastAsia="黑体" w:cs="黑体"/>
          <w:bCs/>
          <w:sz w:val="28"/>
          <w:szCs w:val="28"/>
        </w:rPr>
      </w:pPr>
      <w:r>
        <w:rPr>
          <w:rFonts w:hint="eastAsia" w:ascii="黑体" w:hAnsi="黑体" w:eastAsia="黑体" w:cs="黑体"/>
          <w:bCs/>
          <w:sz w:val="28"/>
          <w:szCs w:val="28"/>
        </w:rPr>
        <w:t>四、学分与证书</w:t>
      </w:r>
    </w:p>
    <w:p w14:paraId="1EC0525E">
      <w:pPr>
        <w:widowControl/>
        <w:spacing w:after="156" w:line="0" w:lineRule="atLeast"/>
        <w:ind w:firstLine="480" w:firstLineChars="200"/>
        <w:rPr>
          <w:rFonts w:hint="eastAsia" w:ascii="宋体" w:hAnsi="宋体"/>
          <w:bCs/>
          <w:sz w:val="24"/>
          <w:szCs w:val="24"/>
        </w:rPr>
      </w:pPr>
      <w:r>
        <w:rPr>
          <w:rFonts w:hint="eastAsia" w:ascii="宋体" w:hAnsi="宋体"/>
          <w:bCs/>
          <w:sz w:val="24"/>
          <w:szCs w:val="24"/>
        </w:rPr>
        <w:t>本微专业采用线上、线下、线上线下混合等多种形式开展教学，共设置8门具有核心功能的课程；本微专业学制为1学年。学完全部课程并经考核合格，可获得学校颁发的“金融智能”微专业证书。</w:t>
      </w:r>
    </w:p>
    <w:p w14:paraId="3B28FC00">
      <w:pPr>
        <w:numPr>
          <w:ilvl w:val="0"/>
          <w:numId w:val="1"/>
        </w:numPr>
        <w:spacing w:before="156" w:beforeLines="50" w:after="156" w:afterLines="50" w:line="480" w:lineRule="exact"/>
        <w:ind w:firstLine="560" w:firstLineChars="200"/>
        <w:rPr>
          <w:rFonts w:hint="eastAsia" w:ascii="黑体" w:hAnsi="黑体" w:eastAsia="黑体" w:cs="黑体"/>
          <w:bCs/>
          <w:sz w:val="28"/>
          <w:szCs w:val="28"/>
        </w:rPr>
      </w:pPr>
      <w:r>
        <w:rPr>
          <w:rFonts w:hint="eastAsia" w:ascii="黑体" w:hAnsi="黑体" w:eastAsia="黑体" w:cs="黑体"/>
          <w:bCs/>
          <w:sz w:val="28"/>
          <w:szCs w:val="28"/>
        </w:rPr>
        <w:t>课程设置</w:t>
      </w:r>
    </w:p>
    <w:p w14:paraId="53DD3914">
      <w:pPr>
        <w:widowControl/>
        <w:spacing w:after="156" w:line="0" w:lineRule="atLeast"/>
        <w:jc w:val="center"/>
        <w:rPr>
          <w:rFonts w:hint="eastAsia" w:ascii="黑体" w:hAnsi="黑体" w:eastAsia="黑体" w:cs="黑体"/>
          <w:bCs/>
          <w:sz w:val="28"/>
          <w:szCs w:val="28"/>
        </w:rPr>
      </w:pPr>
      <w:r>
        <w:rPr>
          <w:rFonts w:hint="eastAsia" w:ascii="黑体" w:hAnsi="黑体" w:eastAsia="黑体" w:cs="黑体"/>
          <w:bCs/>
          <w:sz w:val="28"/>
          <w:szCs w:val="28"/>
        </w:rPr>
        <w:t>金融智能微专业课程设置及教学进程计划表</w:t>
      </w:r>
    </w:p>
    <w:tbl>
      <w:tblPr>
        <w:tblStyle w:val="5"/>
        <w:tblW w:w="100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9"/>
        <w:gridCol w:w="1025"/>
        <w:gridCol w:w="488"/>
        <w:gridCol w:w="600"/>
        <w:gridCol w:w="737"/>
        <w:gridCol w:w="713"/>
        <w:gridCol w:w="625"/>
        <w:gridCol w:w="725"/>
        <w:gridCol w:w="712"/>
        <w:gridCol w:w="675"/>
        <w:gridCol w:w="763"/>
        <w:gridCol w:w="792"/>
        <w:gridCol w:w="792"/>
      </w:tblGrid>
      <w:tr w14:paraId="08D47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vMerge w:val="restart"/>
            <w:tcBorders>
              <w:bottom w:val="single" w:color="auto" w:sz="4" w:space="0"/>
            </w:tcBorders>
            <w:vAlign w:val="center"/>
          </w:tcPr>
          <w:p w14:paraId="68E3900D">
            <w:pPr>
              <w:widowControl/>
              <w:jc w:val="center"/>
              <w:rPr>
                <w:rFonts w:hint="eastAsia" w:ascii="黑体" w:hAnsi="黑体" w:eastAsia="黑体"/>
                <w:bCs/>
                <w:spacing w:val="20"/>
                <w:sz w:val="18"/>
                <w:szCs w:val="18"/>
              </w:rPr>
            </w:pPr>
            <w:r>
              <w:rPr>
                <w:rFonts w:hint="eastAsia" w:ascii="黑体" w:hAnsi="黑体" w:eastAsia="黑体"/>
                <w:bCs/>
                <w:sz w:val="18"/>
                <w:szCs w:val="18"/>
              </w:rPr>
              <w:t>课程名称</w:t>
            </w:r>
          </w:p>
        </w:tc>
        <w:tc>
          <w:tcPr>
            <w:tcW w:w="1025" w:type="dxa"/>
            <w:vMerge w:val="restart"/>
            <w:vAlign w:val="center"/>
          </w:tcPr>
          <w:p w14:paraId="7D1A301D">
            <w:pPr>
              <w:widowControl/>
              <w:jc w:val="center"/>
              <w:rPr>
                <w:rFonts w:hint="eastAsia" w:ascii="黑体" w:hAnsi="黑体" w:eastAsia="黑体"/>
                <w:bCs/>
                <w:sz w:val="18"/>
                <w:szCs w:val="18"/>
              </w:rPr>
            </w:pPr>
            <w:r>
              <w:rPr>
                <w:rFonts w:hint="eastAsia" w:ascii="黑体" w:hAnsi="黑体" w:eastAsia="黑体"/>
                <w:bCs/>
                <w:sz w:val="18"/>
                <w:szCs w:val="18"/>
              </w:rPr>
              <w:t>课程代码</w:t>
            </w:r>
          </w:p>
        </w:tc>
        <w:tc>
          <w:tcPr>
            <w:tcW w:w="488" w:type="dxa"/>
            <w:vMerge w:val="restart"/>
            <w:tcBorders>
              <w:bottom w:val="single" w:color="auto" w:sz="4" w:space="0"/>
            </w:tcBorders>
            <w:vAlign w:val="center"/>
          </w:tcPr>
          <w:p w14:paraId="70B4D03A">
            <w:pPr>
              <w:widowControl/>
              <w:jc w:val="center"/>
              <w:rPr>
                <w:rFonts w:hint="eastAsia" w:ascii="黑体" w:hAnsi="黑体" w:eastAsia="黑体"/>
                <w:bCs/>
                <w:spacing w:val="20"/>
                <w:sz w:val="18"/>
                <w:szCs w:val="18"/>
              </w:rPr>
            </w:pPr>
            <w:r>
              <w:rPr>
                <w:rFonts w:hint="eastAsia" w:ascii="黑体" w:hAnsi="黑体" w:eastAsia="黑体"/>
                <w:bCs/>
                <w:sz w:val="18"/>
                <w:szCs w:val="18"/>
              </w:rPr>
              <w:t>学分</w:t>
            </w:r>
          </w:p>
        </w:tc>
        <w:tc>
          <w:tcPr>
            <w:tcW w:w="600" w:type="dxa"/>
            <w:vMerge w:val="restart"/>
            <w:vAlign w:val="center"/>
          </w:tcPr>
          <w:p w14:paraId="63A53F79">
            <w:pPr>
              <w:widowControl/>
              <w:jc w:val="center"/>
              <w:rPr>
                <w:rFonts w:hint="eastAsia" w:ascii="黑体" w:hAnsi="黑体" w:eastAsia="黑体"/>
                <w:bCs/>
                <w:sz w:val="18"/>
                <w:szCs w:val="18"/>
              </w:rPr>
            </w:pPr>
            <w:r>
              <w:rPr>
                <w:rFonts w:ascii="黑体" w:hAnsi="黑体" w:eastAsia="黑体"/>
                <w:bCs/>
                <w:sz w:val="18"/>
              </w:rPr>
              <w:t>总学时</w:t>
            </w:r>
          </w:p>
        </w:tc>
        <w:tc>
          <w:tcPr>
            <w:tcW w:w="737" w:type="dxa"/>
            <w:vMerge w:val="restart"/>
            <w:vAlign w:val="center"/>
          </w:tcPr>
          <w:p w14:paraId="5580EF47">
            <w:pPr>
              <w:widowControl/>
              <w:jc w:val="center"/>
              <w:rPr>
                <w:rFonts w:hint="eastAsia" w:ascii="黑体" w:hAnsi="黑体" w:eastAsia="黑体"/>
                <w:bCs/>
                <w:sz w:val="18"/>
              </w:rPr>
            </w:pPr>
            <w:r>
              <w:rPr>
                <w:rFonts w:hint="eastAsia" w:ascii="黑体" w:hAnsi="黑体" w:eastAsia="黑体"/>
                <w:bCs/>
                <w:sz w:val="18"/>
              </w:rPr>
              <w:t>授课教师</w:t>
            </w:r>
          </w:p>
        </w:tc>
        <w:tc>
          <w:tcPr>
            <w:tcW w:w="2775" w:type="dxa"/>
            <w:gridSpan w:val="4"/>
            <w:tcBorders>
              <w:bottom w:val="single" w:color="auto" w:sz="4" w:space="0"/>
            </w:tcBorders>
            <w:vAlign w:val="center"/>
          </w:tcPr>
          <w:p w14:paraId="4E686D54">
            <w:pPr>
              <w:widowControl/>
              <w:jc w:val="center"/>
              <w:rPr>
                <w:rFonts w:hint="eastAsia" w:ascii="黑体" w:hAnsi="黑体" w:eastAsia="黑体"/>
                <w:bCs/>
                <w:spacing w:val="20"/>
                <w:sz w:val="18"/>
                <w:szCs w:val="18"/>
              </w:rPr>
            </w:pPr>
            <w:r>
              <w:rPr>
                <w:rFonts w:ascii="黑体" w:hAnsi="黑体" w:eastAsia="黑体"/>
                <w:bCs/>
                <w:spacing w:val="75"/>
                <w:kern w:val="0"/>
                <w:sz w:val="18"/>
                <w:szCs w:val="18"/>
                <w:fitText w:val="840" w:id="-697502720"/>
              </w:rPr>
              <w:t>学时</w:t>
            </w:r>
            <w:r>
              <w:rPr>
                <w:rFonts w:hint="eastAsia" w:ascii="黑体" w:hAnsi="黑体" w:eastAsia="黑体"/>
                <w:bCs/>
                <w:spacing w:val="0"/>
                <w:kern w:val="0"/>
                <w:sz w:val="18"/>
                <w:szCs w:val="18"/>
                <w:fitText w:val="840" w:id="-697502720"/>
              </w:rPr>
              <w:t>分</w:t>
            </w:r>
            <w:r>
              <w:rPr>
                <w:rFonts w:hint="eastAsia" w:ascii="黑体" w:hAnsi="黑体" w:eastAsia="黑体"/>
                <w:bCs/>
                <w:sz w:val="18"/>
                <w:szCs w:val="18"/>
              </w:rPr>
              <w:t xml:space="preserve"> 配</w:t>
            </w:r>
          </w:p>
        </w:tc>
        <w:tc>
          <w:tcPr>
            <w:tcW w:w="675" w:type="dxa"/>
            <w:vMerge w:val="restart"/>
            <w:tcBorders>
              <w:bottom w:val="single" w:color="auto" w:sz="4" w:space="0"/>
            </w:tcBorders>
            <w:vAlign w:val="center"/>
          </w:tcPr>
          <w:p w14:paraId="173716FF">
            <w:pPr>
              <w:widowControl/>
              <w:snapToGrid w:val="0"/>
              <w:jc w:val="center"/>
              <w:rPr>
                <w:rFonts w:hint="eastAsia" w:ascii="黑体" w:hAnsi="黑体" w:eastAsia="黑体"/>
                <w:bCs/>
                <w:sz w:val="18"/>
                <w:szCs w:val="18"/>
              </w:rPr>
            </w:pPr>
            <w:r>
              <w:rPr>
                <w:rFonts w:hint="eastAsia" w:ascii="黑体" w:hAnsi="黑体" w:eastAsia="黑体"/>
                <w:bCs/>
                <w:sz w:val="18"/>
                <w:szCs w:val="18"/>
              </w:rPr>
              <w:t>考核</w:t>
            </w:r>
          </w:p>
          <w:p w14:paraId="3779E232">
            <w:pPr>
              <w:widowControl/>
              <w:jc w:val="center"/>
              <w:rPr>
                <w:rFonts w:hint="eastAsia" w:ascii="黑体" w:hAnsi="黑体" w:eastAsia="黑体"/>
                <w:bCs/>
                <w:spacing w:val="20"/>
                <w:sz w:val="18"/>
                <w:szCs w:val="18"/>
              </w:rPr>
            </w:pPr>
            <w:r>
              <w:rPr>
                <w:rFonts w:hint="eastAsia" w:ascii="黑体" w:hAnsi="黑体" w:eastAsia="黑体"/>
                <w:bCs/>
                <w:sz w:val="18"/>
                <w:szCs w:val="18"/>
              </w:rPr>
              <w:t>方式</w:t>
            </w:r>
          </w:p>
        </w:tc>
        <w:tc>
          <w:tcPr>
            <w:tcW w:w="763" w:type="dxa"/>
            <w:vMerge w:val="restart"/>
            <w:tcBorders>
              <w:bottom w:val="single" w:color="auto" w:sz="4" w:space="0"/>
            </w:tcBorders>
            <w:vAlign w:val="center"/>
          </w:tcPr>
          <w:p w14:paraId="59E75C6C">
            <w:pPr>
              <w:widowControl/>
              <w:jc w:val="center"/>
              <w:rPr>
                <w:rFonts w:hint="eastAsia" w:ascii="黑体" w:hAnsi="黑体" w:eastAsia="黑体"/>
                <w:bCs/>
                <w:spacing w:val="20"/>
                <w:sz w:val="18"/>
                <w:szCs w:val="18"/>
              </w:rPr>
            </w:pPr>
            <w:r>
              <w:rPr>
                <w:rFonts w:hint="eastAsia" w:ascii="黑体" w:hAnsi="黑体" w:eastAsia="黑体"/>
                <w:bCs/>
                <w:spacing w:val="20"/>
                <w:sz w:val="18"/>
                <w:szCs w:val="18"/>
              </w:rPr>
              <w:t>开课单位</w:t>
            </w:r>
          </w:p>
        </w:tc>
        <w:tc>
          <w:tcPr>
            <w:tcW w:w="792" w:type="dxa"/>
            <w:vMerge w:val="restart"/>
            <w:vAlign w:val="center"/>
          </w:tcPr>
          <w:p w14:paraId="1BD18749">
            <w:pPr>
              <w:widowControl/>
              <w:snapToGrid w:val="0"/>
              <w:jc w:val="center"/>
              <w:rPr>
                <w:rFonts w:hint="eastAsia" w:ascii="黑体" w:hAnsi="黑体" w:eastAsia="黑体"/>
                <w:bCs/>
                <w:sz w:val="18"/>
                <w:szCs w:val="18"/>
              </w:rPr>
            </w:pPr>
            <w:r>
              <w:rPr>
                <w:rFonts w:ascii="黑体" w:hAnsi="黑体" w:eastAsia="黑体"/>
                <w:bCs/>
                <w:sz w:val="18"/>
                <w:szCs w:val="18"/>
              </w:rPr>
              <w:t>开课</w:t>
            </w:r>
          </w:p>
          <w:p w14:paraId="503FAC26">
            <w:pPr>
              <w:widowControl/>
              <w:jc w:val="center"/>
              <w:rPr>
                <w:rFonts w:hint="eastAsia" w:ascii="黑体" w:hAnsi="黑体" w:eastAsia="黑体"/>
                <w:bCs/>
                <w:spacing w:val="20"/>
                <w:sz w:val="18"/>
                <w:szCs w:val="18"/>
              </w:rPr>
            </w:pPr>
            <w:r>
              <w:rPr>
                <w:rFonts w:hint="eastAsia" w:ascii="黑体" w:hAnsi="黑体" w:eastAsia="黑体"/>
                <w:bCs/>
                <w:sz w:val="18"/>
                <w:szCs w:val="18"/>
              </w:rPr>
              <w:t>学期、时间</w:t>
            </w:r>
          </w:p>
        </w:tc>
        <w:tc>
          <w:tcPr>
            <w:tcW w:w="792" w:type="dxa"/>
            <w:vMerge w:val="restart"/>
            <w:vAlign w:val="center"/>
          </w:tcPr>
          <w:p w14:paraId="35BC0339">
            <w:pPr>
              <w:widowControl/>
              <w:jc w:val="center"/>
              <w:rPr>
                <w:rFonts w:hint="eastAsia" w:ascii="黑体" w:hAnsi="黑体" w:eastAsia="黑体"/>
                <w:bCs/>
                <w:sz w:val="18"/>
                <w:szCs w:val="18"/>
              </w:rPr>
            </w:pPr>
            <w:r>
              <w:rPr>
                <w:rFonts w:hint="eastAsia" w:ascii="黑体" w:hAnsi="黑体" w:eastAsia="黑体"/>
                <w:bCs/>
                <w:sz w:val="18"/>
                <w:szCs w:val="18"/>
              </w:rPr>
              <w:t>具体上课周数</w:t>
            </w:r>
          </w:p>
        </w:tc>
      </w:tr>
      <w:tr w14:paraId="3C773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vMerge w:val="continue"/>
            <w:vAlign w:val="center"/>
          </w:tcPr>
          <w:p w14:paraId="5AFBF6E0">
            <w:pPr>
              <w:widowControl/>
              <w:jc w:val="center"/>
              <w:rPr>
                <w:rFonts w:hint="eastAsia" w:ascii="仿宋" w:hAnsi="仿宋" w:eastAsia="仿宋"/>
                <w:b/>
                <w:spacing w:val="20"/>
                <w:sz w:val="21"/>
                <w:szCs w:val="21"/>
              </w:rPr>
            </w:pPr>
          </w:p>
        </w:tc>
        <w:tc>
          <w:tcPr>
            <w:tcW w:w="1025" w:type="dxa"/>
            <w:vMerge w:val="continue"/>
            <w:vAlign w:val="center"/>
          </w:tcPr>
          <w:p w14:paraId="0F3ACDDD">
            <w:pPr>
              <w:widowControl/>
              <w:jc w:val="center"/>
              <w:rPr>
                <w:rFonts w:hint="eastAsia" w:ascii="仿宋" w:hAnsi="仿宋" w:eastAsia="仿宋"/>
                <w:b/>
                <w:spacing w:val="20"/>
                <w:sz w:val="21"/>
                <w:szCs w:val="21"/>
              </w:rPr>
            </w:pPr>
          </w:p>
        </w:tc>
        <w:tc>
          <w:tcPr>
            <w:tcW w:w="488" w:type="dxa"/>
            <w:vMerge w:val="continue"/>
            <w:vAlign w:val="center"/>
          </w:tcPr>
          <w:p w14:paraId="5DF84CA2">
            <w:pPr>
              <w:widowControl/>
              <w:jc w:val="center"/>
              <w:rPr>
                <w:rFonts w:hint="eastAsia" w:ascii="仿宋" w:hAnsi="仿宋" w:eastAsia="仿宋"/>
                <w:b/>
                <w:spacing w:val="20"/>
                <w:sz w:val="21"/>
                <w:szCs w:val="21"/>
              </w:rPr>
            </w:pPr>
          </w:p>
        </w:tc>
        <w:tc>
          <w:tcPr>
            <w:tcW w:w="600" w:type="dxa"/>
            <w:vMerge w:val="continue"/>
            <w:vAlign w:val="center"/>
          </w:tcPr>
          <w:p w14:paraId="19A0C948">
            <w:pPr>
              <w:widowControl/>
              <w:jc w:val="center"/>
              <w:rPr>
                <w:rFonts w:hint="eastAsia" w:ascii="仿宋" w:hAnsi="仿宋" w:eastAsia="仿宋"/>
                <w:b/>
                <w:spacing w:val="20"/>
                <w:sz w:val="21"/>
                <w:szCs w:val="21"/>
              </w:rPr>
            </w:pPr>
          </w:p>
        </w:tc>
        <w:tc>
          <w:tcPr>
            <w:tcW w:w="737" w:type="dxa"/>
            <w:vMerge w:val="continue"/>
            <w:vAlign w:val="center"/>
          </w:tcPr>
          <w:p w14:paraId="48568E3F">
            <w:pPr>
              <w:widowControl/>
              <w:jc w:val="center"/>
              <w:rPr>
                <w:rFonts w:hint="eastAsia" w:ascii="仿宋" w:hAnsi="仿宋" w:eastAsia="仿宋"/>
                <w:b/>
                <w:spacing w:val="20"/>
                <w:sz w:val="21"/>
                <w:szCs w:val="21"/>
              </w:rPr>
            </w:pPr>
          </w:p>
        </w:tc>
        <w:tc>
          <w:tcPr>
            <w:tcW w:w="713" w:type="dxa"/>
            <w:vAlign w:val="center"/>
          </w:tcPr>
          <w:p w14:paraId="3B9BDE7A">
            <w:pPr>
              <w:widowControl/>
              <w:jc w:val="center"/>
              <w:rPr>
                <w:rFonts w:hint="eastAsia" w:ascii="黑体" w:hAnsi="黑体" w:eastAsia="黑体"/>
                <w:bCs/>
                <w:spacing w:val="20"/>
                <w:sz w:val="21"/>
                <w:szCs w:val="21"/>
              </w:rPr>
            </w:pPr>
            <w:r>
              <w:rPr>
                <w:rFonts w:hint="eastAsia" w:ascii="黑体" w:hAnsi="黑体" w:eastAsia="黑体"/>
                <w:bCs/>
                <w:sz w:val="18"/>
              </w:rPr>
              <w:t>理论</w:t>
            </w:r>
          </w:p>
        </w:tc>
        <w:tc>
          <w:tcPr>
            <w:tcW w:w="625" w:type="dxa"/>
            <w:vAlign w:val="center"/>
          </w:tcPr>
          <w:p w14:paraId="65B2D51F">
            <w:pPr>
              <w:widowControl/>
              <w:jc w:val="center"/>
              <w:rPr>
                <w:rFonts w:hint="eastAsia" w:ascii="黑体" w:hAnsi="黑体" w:eastAsia="黑体"/>
                <w:bCs/>
                <w:spacing w:val="20"/>
                <w:sz w:val="21"/>
                <w:szCs w:val="21"/>
              </w:rPr>
            </w:pPr>
            <w:r>
              <w:rPr>
                <w:rFonts w:hint="eastAsia" w:ascii="黑体" w:hAnsi="黑体" w:eastAsia="黑体"/>
                <w:bCs/>
                <w:sz w:val="18"/>
              </w:rPr>
              <w:t>实践</w:t>
            </w:r>
          </w:p>
        </w:tc>
        <w:tc>
          <w:tcPr>
            <w:tcW w:w="725" w:type="dxa"/>
            <w:vAlign w:val="center"/>
          </w:tcPr>
          <w:p w14:paraId="18A6E832">
            <w:pPr>
              <w:widowControl/>
              <w:jc w:val="center"/>
              <w:rPr>
                <w:rFonts w:hint="eastAsia" w:ascii="黑体" w:hAnsi="黑体" w:eastAsia="黑体"/>
                <w:bCs/>
                <w:spacing w:val="20"/>
                <w:sz w:val="21"/>
                <w:szCs w:val="21"/>
              </w:rPr>
            </w:pPr>
            <w:r>
              <w:rPr>
                <w:rFonts w:hint="eastAsia" w:ascii="黑体" w:hAnsi="黑体" w:eastAsia="黑体"/>
                <w:bCs/>
                <w:sz w:val="18"/>
                <w:szCs w:val="18"/>
              </w:rPr>
              <w:t>线上学时</w:t>
            </w:r>
          </w:p>
        </w:tc>
        <w:tc>
          <w:tcPr>
            <w:tcW w:w="712" w:type="dxa"/>
            <w:vAlign w:val="center"/>
          </w:tcPr>
          <w:p w14:paraId="56268926">
            <w:pPr>
              <w:widowControl/>
              <w:jc w:val="center"/>
              <w:rPr>
                <w:rFonts w:hint="eastAsia" w:ascii="仿宋" w:hAnsi="仿宋" w:eastAsia="仿宋"/>
                <w:b/>
                <w:spacing w:val="20"/>
                <w:sz w:val="21"/>
                <w:szCs w:val="21"/>
              </w:rPr>
            </w:pPr>
            <w:r>
              <w:rPr>
                <w:rFonts w:hint="eastAsia" w:ascii="黑体" w:hAnsi="黑体" w:eastAsia="黑体"/>
                <w:bCs/>
                <w:sz w:val="18"/>
                <w:szCs w:val="18"/>
              </w:rPr>
              <w:t>线下学时</w:t>
            </w:r>
          </w:p>
        </w:tc>
        <w:tc>
          <w:tcPr>
            <w:tcW w:w="675" w:type="dxa"/>
            <w:vMerge w:val="continue"/>
            <w:vAlign w:val="center"/>
          </w:tcPr>
          <w:p w14:paraId="1F685F7B">
            <w:pPr>
              <w:widowControl/>
              <w:jc w:val="center"/>
              <w:rPr>
                <w:rFonts w:hint="eastAsia" w:ascii="仿宋" w:hAnsi="仿宋" w:eastAsia="仿宋"/>
                <w:b/>
                <w:spacing w:val="20"/>
                <w:sz w:val="21"/>
                <w:szCs w:val="21"/>
              </w:rPr>
            </w:pPr>
          </w:p>
        </w:tc>
        <w:tc>
          <w:tcPr>
            <w:tcW w:w="763" w:type="dxa"/>
            <w:vMerge w:val="continue"/>
            <w:vAlign w:val="center"/>
          </w:tcPr>
          <w:p w14:paraId="0223C203">
            <w:pPr>
              <w:widowControl/>
              <w:jc w:val="center"/>
              <w:rPr>
                <w:rFonts w:hint="eastAsia" w:ascii="仿宋" w:hAnsi="仿宋" w:eastAsia="仿宋"/>
                <w:b/>
                <w:spacing w:val="20"/>
                <w:sz w:val="21"/>
                <w:szCs w:val="21"/>
              </w:rPr>
            </w:pPr>
          </w:p>
        </w:tc>
        <w:tc>
          <w:tcPr>
            <w:tcW w:w="792" w:type="dxa"/>
            <w:vMerge w:val="continue"/>
            <w:vAlign w:val="center"/>
          </w:tcPr>
          <w:p w14:paraId="30D695C7">
            <w:pPr>
              <w:widowControl/>
              <w:jc w:val="center"/>
              <w:rPr>
                <w:rFonts w:hint="eastAsia" w:ascii="仿宋" w:hAnsi="仿宋" w:eastAsia="仿宋"/>
                <w:b/>
                <w:spacing w:val="20"/>
                <w:sz w:val="21"/>
                <w:szCs w:val="21"/>
              </w:rPr>
            </w:pPr>
          </w:p>
        </w:tc>
        <w:tc>
          <w:tcPr>
            <w:tcW w:w="792" w:type="dxa"/>
            <w:vMerge w:val="continue"/>
            <w:vAlign w:val="center"/>
          </w:tcPr>
          <w:p w14:paraId="333CBEF9">
            <w:pPr>
              <w:widowControl/>
              <w:jc w:val="center"/>
              <w:rPr>
                <w:rFonts w:hint="eastAsia" w:ascii="仿宋" w:hAnsi="仿宋" w:eastAsia="仿宋"/>
                <w:b/>
                <w:spacing w:val="20"/>
                <w:sz w:val="21"/>
                <w:szCs w:val="21"/>
              </w:rPr>
            </w:pPr>
          </w:p>
        </w:tc>
      </w:tr>
      <w:tr w14:paraId="083A7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vAlign w:val="center"/>
          </w:tcPr>
          <w:p w14:paraId="3B59F8FF">
            <w:pPr>
              <w:widowControl/>
              <w:jc w:val="left"/>
              <w:rPr>
                <w:rFonts w:hint="eastAsia" w:ascii="仿宋" w:hAnsi="仿宋" w:eastAsia="仿宋"/>
                <w:b/>
                <w:spacing w:val="20"/>
                <w:sz w:val="18"/>
                <w:szCs w:val="18"/>
              </w:rPr>
            </w:pPr>
            <w:r>
              <w:rPr>
                <w:rFonts w:hint="eastAsia" w:ascii="仿宋" w:hAnsi="仿宋" w:eastAsia="仿宋"/>
                <w:b/>
                <w:spacing w:val="20"/>
                <w:sz w:val="18"/>
                <w:szCs w:val="18"/>
              </w:rPr>
              <w:t>金融科技概论</w:t>
            </w:r>
          </w:p>
        </w:tc>
        <w:tc>
          <w:tcPr>
            <w:tcW w:w="1025" w:type="dxa"/>
            <w:vAlign w:val="center"/>
          </w:tcPr>
          <w:p w14:paraId="05B223C2">
            <w:pPr>
              <w:widowControl/>
              <w:jc w:val="center"/>
              <w:rPr>
                <w:rFonts w:hint="eastAsia" w:ascii="仿宋" w:hAnsi="仿宋" w:eastAsia="仿宋"/>
                <w:b/>
                <w:spacing w:val="20"/>
                <w:sz w:val="18"/>
                <w:szCs w:val="18"/>
              </w:rPr>
            </w:pPr>
          </w:p>
        </w:tc>
        <w:tc>
          <w:tcPr>
            <w:tcW w:w="488" w:type="dxa"/>
            <w:vAlign w:val="center"/>
          </w:tcPr>
          <w:p w14:paraId="1E128A2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484A578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670D993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邴涛</w:t>
            </w:r>
          </w:p>
        </w:tc>
        <w:tc>
          <w:tcPr>
            <w:tcW w:w="713" w:type="dxa"/>
            <w:vAlign w:val="center"/>
          </w:tcPr>
          <w:p w14:paraId="0FBB700E">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24C68ED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7062D26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1A2F9743">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2ECA9BF7">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2DCE162B">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56353561">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2-1/周六1-5</w:t>
            </w:r>
          </w:p>
        </w:tc>
        <w:tc>
          <w:tcPr>
            <w:tcW w:w="792" w:type="dxa"/>
            <w:vAlign w:val="center"/>
          </w:tcPr>
          <w:p w14:paraId="524DA833">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1-7周</w:t>
            </w:r>
          </w:p>
        </w:tc>
      </w:tr>
      <w:tr w14:paraId="190F76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vAlign w:val="center"/>
          </w:tcPr>
          <w:p w14:paraId="46F9E490">
            <w:pPr>
              <w:widowControl/>
              <w:jc w:val="left"/>
              <w:rPr>
                <w:rFonts w:hint="eastAsia" w:ascii="仿宋" w:hAnsi="仿宋" w:eastAsia="仿宋"/>
                <w:b/>
                <w:spacing w:val="20"/>
                <w:sz w:val="18"/>
                <w:szCs w:val="18"/>
              </w:rPr>
            </w:pPr>
            <w:r>
              <w:rPr>
                <w:rFonts w:hint="eastAsia" w:ascii="仿宋" w:hAnsi="仿宋" w:eastAsia="仿宋"/>
                <w:b/>
                <w:spacing w:val="20"/>
                <w:sz w:val="18"/>
                <w:szCs w:val="18"/>
              </w:rPr>
              <w:t>金融计算机语言</w:t>
            </w:r>
          </w:p>
        </w:tc>
        <w:tc>
          <w:tcPr>
            <w:tcW w:w="1025" w:type="dxa"/>
            <w:vAlign w:val="center"/>
          </w:tcPr>
          <w:p w14:paraId="7BC24B24">
            <w:pPr>
              <w:widowControl/>
              <w:jc w:val="center"/>
              <w:rPr>
                <w:rFonts w:hint="eastAsia" w:ascii="仿宋" w:hAnsi="仿宋" w:eastAsia="仿宋"/>
                <w:b/>
                <w:spacing w:val="20"/>
                <w:sz w:val="18"/>
                <w:szCs w:val="18"/>
              </w:rPr>
            </w:pPr>
          </w:p>
        </w:tc>
        <w:tc>
          <w:tcPr>
            <w:tcW w:w="488" w:type="dxa"/>
            <w:vAlign w:val="center"/>
          </w:tcPr>
          <w:p w14:paraId="67C99452">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3B4BEB86">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6A97566F">
            <w:pPr>
              <w:widowControl/>
              <w:jc w:val="center"/>
              <w:rPr>
                <w:rFonts w:hint="eastAsia" w:ascii="仿宋" w:hAnsi="仿宋" w:eastAsia="仿宋"/>
                <w:b/>
                <w:spacing w:val="20"/>
                <w:sz w:val="18"/>
                <w:szCs w:val="18"/>
              </w:rPr>
            </w:pPr>
            <w:r>
              <w:rPr>
                <w:rFonts w:hint="eastAsia" w:ascii="仿宋" w:hAnsi="仿宋" w:eastAsia="仿宋" w:cs="微软雅黑"/>
              </w:rPr>
              <w:t>高强</w:t>
            </w:r>
          </w:p>
        </w:tc>
        <w:tc>
          <w:tcPr>
            <w:tcW w:w="713" w:type="dxa"/>
            <w:vAlign w:val="center"/>
          </w:tcPr>
          <w:p w14:paraId="4ADBC99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25" w:type="dxa"/>
            <w:vAlign w:val="center"/>
          </w:tcPr>
          <w:p w14:paraId="6CD1D44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48C9EF5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05EF384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454E5ED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6A9A6681">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405B465E">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2-1/周日1-5</w:t>
            </w:r>
          </w:p>
        </w:tc>
        <w:tc>
          <w:tcPr>
            <w:tcW w:w="792" w:type="dxa"/>
            <w:vAlign w:val="center"/>
          </w:tcPr>
          <w:p w14:paraId="08A76662">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1-7周</w:t>
            </w:r>
          </w:p>
        </w:tc>
      </w:tr>
      <w:tr w14:paraId="3D31B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Pr>
          <w:p w14:paraId="01327547">
            <w:pPr>
              <w:widowControl/>
              <w:jc w:val="left"/>
              <w:rPr>
                <w:rFonts w:hint="eastAsia" w:ascii="仿宋" w:hAnsi="仿宋" w:eastAsia="仿宋"/>
                <w:b/>
                <w:spacing w:val="20"/>
                <w:sz w:val="18"/>
                <w:szCs w:val="18"/>
              </w:rPr>
            </w:pPr>
            <w:r>
              <w:rPr>
                <w:rFonts w:hint="eastAsia" w:ascii="仿宋" w:hAnsi="仿宋" w:eastAsia="仿宋"/>
                <w:b/>
                <w:spacing w:val="20"/>
                <w:sz w:val="18"/>
                <w:szCs w:val="18"/>
              </w:rPr>
              <w:t>机器学习与投资</w:t>
            </w:r>
          </w:p>
        </w:tc>
        <w:tc>
          <w:tcPr>
            <w:tcW w:w="1025" w:type="dxa"/>
            <w:vAlign w:val="center"/>
          </w:tcPr>
          <w:p w14:paraId="07C9D041">
            <w:pPr>
              <w:widowControl/>
              <w:jc w:val="center"/>
              <w:rPr>
                <w:rFonts w:hint="eastAsia" w:ascii="仿宋" w:hAnsi="仿宋" w:eastAsia="仿宋"/>
                <w:b/>
                <w:spacing w:val="20"/>
                <w:sz w:val="18"/>
                <w:szCs w:val="18"/>
              </w:rPr>
            </w:pPr>
          </w:p>
        </w:tc>
        <w:tc>
          <w:tcPr>
            <w:tcW w:w="488" w:type="dxa"/>
            <w:vAlign w:val="center"/>
          </w:tcPr>
          <w:p w14:paraId="64470E93">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15071541">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4BC7135D">
            <w:pPr>
              <w:widowControl/>
              <w:jc w:val="center"/>
              <w:rPr>
                <w:rFonts w:hint="eastAsia" w:ascii="仿宋" w:hAnsi="仿宋" w:eastAsia="仿宋"/>
                <w:b/>
                <w:spacing w:val="20"/>
                <w:sz w:val="18"/>
                <w:szCs w:val="18"/>
              </w:rPr>
            </w:pPr>
            <w:r>
              <w:rPr>
                <w:rFonts w:hint="eastAsia" w:ascii="仿宋" w:hAnsi="仿宋" w:eastAsia="仿宋" w:cs="微软雅黑"/>
              </w:rPr>
              <w:t>王涧秋</w:t>
            </w:r>
          </w:p>
        </w:tc>
        <w:tc>
          <w:tcPr>
            <w:tcW w:w="713" w:type="dxa"/>
            <w:vAlign w:val="center"/>
          </w:tcPr>
          <w:p w14:paraId="2F3EABD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1252C41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0C38E180">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7D2FA1B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275D09B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374A3F31">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36671DDB">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2-1/周六6-9节</w:t>
            </w:r>
          </w:p>
        </w:tc>
        <w:tc>
          <w:tcPr>
            <w:tcW w:w="792" w:type="dxa"/>
            <w:vAlign w:val="center"/>
          </w:tcPr>
          <w:p w14:paraId="2CF13958">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1-8周</w:t>
            </w:r>
          </w:p>
        </w:tc>
      </w:tr>
      <w:tr w14:paraId="4DFCC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Pr>
          <w:p w14:paraId="37274BBF">
            <w:pPr>
              <w:widowControl/>
              <w:jc w:val="left"/>
              <w:rPr>
                <w:rFonts w:hint="eastAsia" w:ascii="仿宋" w:hAnsi="仿宋" w:eastAsia="仿宋"/>
                <w:b/>
                <w:spacing w:val="20"/>
                <w:sz w:val="18"/>
                <w:szCs w:val="18"/>
              </w:rPr>
            </w:pPr>
            <w:r>
              <w:rPr>
                <w:rFonts w:hint="eastAsia" w:ascii="仿宋" w:hAnsi="仿宋" w:eastAsia="仿宋"/>
                <w:b/>
                <w:spacing w:val="20"/>
                <w:sz w:val="18"/>
                <w:szCs w:val="18"/>
              </w:rPr>
              <w:t>数字金融</w:t>
            </w:r>
          </w:p>
        </w:tc>
        <w:tc>
          <w:tcPr>
            <w:tcW w:w="1025" w:type="dxa"/>
            <w:vAlign w:val="center"/>
          </w:tcPr>
          <w:p w14:paraId="79919EF9">
            <w:pPr>
              <w:widowControl/>
              <w:jc w:val="center"/>
              <w:rPr>
                <w:rFonts w:hint="eastAsia" w:ascii="仿宋" w:hAnsi="仿宋" w:eastAsia="仿宋"/>
                <w:b/>
                <w:spacing w:val="20"/>
                <w:sz w:val="18"/>
                <w:szCs w:val="18"/>
              </w:rPr>
            </w:pPr>
          </w:p>
        </w:tc>
        <w:tc>
          <w:tcPr>
            <w:tcW w:w="488" w:type="dxa"/>
            <w:vAlign w:val="center"/>
          </w:tcPr>
          <w:p w14:paraId="628CA653">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48D59F56">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464E7045">
            <w:pPr>
              <w:widowControl/>
              <w:jc w:val="center"/>
              <w:rPr>
                <w:rFonts w:hint="eastAsia" w:ascii="仿宋" w:hAnsi="仿宋" w:eastAsia="仿宋"/>
                <w:b/>
                <w:spacing w:val="20"/>
                <w:sz w:val="18"/>
                <w:szCs w:val="18"/>
              </w:rPr>
            </w:pPr>
            <w:r>
              <w:rPr>
                <w:rFonts w:hint="eastAsia" w:ascii="仿宋" w:hAnsi="仿宋" w:eastAsia="仿宋" w:cs="微软雅黑"/>
              </w:rPr>
              <w:t>徐瑞峰</w:t>
            </w:r>
          </w:p>
        </w:tc>
        <w:tc>
          <w:tcPr>
            <w:tcW w:w="713" w:type="dxa"/>
            <w:vAlign w:val="center"/>
          </w:tcPr>
          <w:p w14:paraId="4A35F297">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12A8576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5F2F093A">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2A81CFFC">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5114CF30">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265D39B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617BA35A">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2-1/周日6-9节</w:t>
            </w:r>
          </w:p>
        </w:tc>
        <w:tc>
          <w:tcPr>
            <w:tcW w:w="792" w:type="dxa"/>
            <w:vAlign w:val="center"/>
          </w:tcPr>
          <w:p w14:paraId="5F36A24A">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1-8周</w:t>
            </w:r>
          </w:p>
        </w:tc>
      </w:tr>
      <w:tr w14:paraId="7B646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Pr>
          <w:p w14:paraId="768F6627">
            <w:pPr>
              <w:widowControl/>
              <w:jc w:val="left"/>
              <w:rPr>
                <w:rFonts w:hint="eastAsia" w:ascii="仿宋" w:hAnsi="仿宋" w:eastAsia="仿宋"/>
                <w:b/>
                <w:spacing w:val="20"/>
                <w:sz w:val="18"/>
                <w:szCs w:val="18"/>
              </w:rPr>
            </w:pPr>
            <w:r>
              <w:rPr>
                <w:rFonts w:hint="eastAsia" w:ascii="仿宋" w:hAnsi="仿宋" w:eastAsia="仿宋"/>
                <w:b/>
                <w:spacing w:val="20"/>
                <w:sz w:val="18"/>
                <w:szCs w:val="18"/>
              </w:rPr>
              <w:t>量化金融学</w:t>
            </w:r>
          </w:p>
        </w:tc>
        <w:tc>
          <w:tcPr>
            <w:tcW w:w="1025" w:type="dxa"/>
            <w:vAlign w:val="center"/>
          </w:tcPr>
          <w:p w14:paraId="764ECF70">
            <w:pPr>
              <w:widowControl/>
              <w:jc w:val="center"/>
              <w:rPr>
                <w:rFonts w:hint="eastAsia" w:ascii="仿宋" w:hAnsi="仿宋" w:eastAsia="仿宋"/>
                <w:b/>
                <w:spacing w:val="20"/>
                <w:sz w:val="18"/>
                <w:szCs w:val="18"/>
              </w:rPr>
            </w:pPr>
          </w:p>
        </w:tc>
        <w:tc>
          <w:tcPr>
            <w:tcW w:w="488" w:type="dxa"/>
            <w:vAlign w:val="center"/>
          </w:tcPr>
          <w:p w14:paraId="487903D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6594DDD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1B105F2C">
            <w:pPr>
              <w:widowControl/>
              <w:jc w:val="center"/>
              <w:rPr>
                <w:rFonts w:hint="eastAsia" w:ascii="仿宋" w:hAnsi="仿宋" w:eastAsia="仿宋"/>
                <w:b/>
                <w:spacing w:val="20"/>
                <w:sz w:val="18"/>
                <w:szCs w:val="18"/>
              </w:rPr>
            </w:pPr>
            <w:r>
              <w:rPr>
                <w:rFonts w:hint="eastAsia" w:ascii="仿宋" w:hAnsi="仿宋" w:eastAsia="仿宋"/>
              </w:rPr>
              <w:t>余颖丰</w:t>
            </w:r>
          </w:p>
        </w:tc>
        <w:tc>
          <w:tcPr>
            <w:tcW w:w="713" w:type="dxa"/>
            <w:vAlign w:val="center"/>
          </w:tcPr>
          <w:p w14:paraId="5E1FE670">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08D82D2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68492288">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58BEB4CA">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272A8D1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2674624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59EC4332">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2-2/周日1-5</w:t>
            </w:r>
          </w:p>
        </w:tc>
        <w:tc>
          <w:tcPr>
            <w:tcW w:w="792" w:type="dxa"/>
            <w:vAlign w:val="center"/>
          </w:tcPr>
          <w:p w14:paraId="57DAAE7A">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1-7周</w:t>
            </w:r>
          </w:p>
        </w:tc>
      </w:tr>
      <w:tr w14:paraId="4A1AA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Pr>
          <w:p w14:paraId="568DCC6C">
            <w:pPr>
              <w:widowControl/>
              <w:jc w:val="left"/>
              <w:rPr>
                <w:rFonts w:hint="eastAsia" w:ascii="仿宋" w:hAnsi="仿宋" w:eastAsia="仿宋"/>
                <w:b/>
                <w:spacing w:val="20"/>
                <w:sz w:val="18"/>
                <w:szCs w:val="18"/>
              </w:rPr>
            </w:pPr>
            <w:r>
              <w:rPr>
                <w:rFonts w:hint="eastAsia" w:ascii="仿宋" w:hAnsi="仿宋" w:eastAsia="仿宋"/>
                <w:b/>
                <w:spacing w:val="20"/>
                <w:sz w:val="18"/>
                <w:szCs w:val="18"/>
              </w:rPr>
              <w:t>深度学习</w:t>
            </w:r>
          </w:p>
        </w:tc>
        <w:tc>
          <w:tcPr>
            <w:tcW w:w="1025" w:type="dxa"/>
            <w:vAlign w:val="center"/>
          </w:tcPr>
          <w:p w14:paraId="18E83D5A">
            <w:pPr>
              <w:widowControl/>
              <w:jc w:val="center"/>
              <w:rPr>
                <w:rFonts w:hint="eastAsia" w:ascii="仿宋" w:hAnsi="仿宋" w:eastAsia="仿宋"/>
                <w:b/>
                <w:spacing w:val="20"/>
                <w:sz w:val="18"/>
                <w:szCs w:val="18"/>
              </w:rPr>
            </w:pPr>
          </w:p>
        </w:tc>
        <w:tc>
          <w:tcPr>
            <w:tcW w:w="488" w:type="dxa"/>
            <w:vAlign w:val="center"/>
          </w:tcPr>
          <w:p w14:paraId="208671A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60C3B45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4EEB4EAB">
            <w:pPr>
              <w:widowControl/>
              <w:jc w:val="center"/>
              <w:rPr>
                <w:rFonts w:hint="eastAsia" w:ascii="仿宋" w:hAnsi="仿宋" w:eastAsia="仿宋"/>
                <w:b/>
                <w:spacing w:val="20"/>
                <w:sz w:val="18"/>
                <w:szCs w:val="18"/>
              </w:rPr>
            </w:pPr>
            <w:r>
              <w:rPr>
                <w:rFonts w:hint="eastAsia" w:ascii="仿宋" w:hAnsi="仿宋" w:eastAsia="仿宋" w:cs="微软雅黑"/>
              </w:rPr>
              <w:t>张萍</w:t>
            </w:r>
          </w:p>
        </w:tc>
        <w:tc>
          <w:tcPr>
            <w:tcW w:w="713" w:type="dxa"/>
            <w:vAlign w:val="center"/>
          </w:tcPr>
          <w:p w14:paraId="3435CBC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0ED6E94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65C0492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1CC2F00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7D7FF3DE">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30BB80F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24502EC5">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2-2/周</w:t>
            </w:r>
            <w:r>
              <w:rPr>
                <w:rFonts w:hint="eastAsia" w:ascii="仿宋" w:hAnsi="仿宋" w:eastAsia="仿宋"/>
                <w:b/>
                <w:spacing w:val="20"/>
                <w:sz w:val="18"/>
                <w:szCs w:val="18"/>
                <w:lang w:val="en-US" w:eastAsia="zh-CN"/>
              </w:rPr>
              <w:t>六</w:t>
            </w:r>
            <w:bookmarkStart w:id="0" w:name="_GoBack"/>
            <w:bookmarkEnd w:id="0"/>
            <w:r>
              <w:rPr>
                <w:rFonts w:hint="eastAsia" w:ascii="仿宋" w:hAnsi="仿宋" w:eastAsia="仿宋"/>
                <w:b/>
                <w:spacing w:val="20"/>
                <w:sz w:val="18"/>
                <w:szCs w:val="18"/>
              </w:rPr>
              <w:t>6-9节</w:t>
            </w:r>
          </w:p>
        </w:tc>
        <w:tc>
          <w:tcPr>
            <w:tcW w:w="792" w:type="dxa"/>
            <w:vAlign w:val="center"/>
          </w:tcPr>
          <w:p w14:paraId="331F12A2">
            <w:pPr>
              <w:widowControl/>
              <w:rPr>
                <w:rFonts w:hint="eastAsia" w:ascii="仿宋" w:hAnsi="仿宋" w:eastAsia="仿宋"/>
                <w:b/>
                <w:spacing w:val="20"/>
                <w:sz w:val="18"/>
                <w:szCs w:val="18"/>
              </w:rPr>
            </w:pPr>
            <w:r>
              <w:rPr>
                <w:rFonts w:hint="eastAsia" w:ascii="仿宋" w:hAnsi="仿宋" w:eastAsia="仿宋"/>
                <w:b/>
                <w:spacing w:val="20"/>
                <w:sz w:val="18"/>
                <w:szCs w:val="18"/>
              </w:rPr>
              <w:t>1-8周</w:t>
            </w:r>
          </w:p>
        </w:tc>
      </w:tr>
      <w:tr w14:paraId="5ACE6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Pr>
          <w:p w14:paraId="06AF3FA0">
            <w:pPr>
              <w:widowControl/>
              <w:jc w:val="left"/>
              <w:rPr>
                <w:rFonts w:hint="eastAsia" w:ascii="仿宋" w:hAnsi="仿宋" w:eastAsia="仿宋"/>
                <w:b/>
                <w:spacing w:val="20"/>
                <w:sz w:val="18"/>
                <w:szCs w:val="18"/>
              </w:rPr>
            </w:pPr>
            <w:r>
              <w:rPr>
                <w:rFonts w:hint="eastAsia" w:ascii="仿宋" w:hAnsi="仿宋" w:eastAsia="仿宋"/>
                <w:b/>
                <w:spacing w:val="20"/>
                <w:sz w:val="18"/>
                <w:szCs w:val="18"/>
              </w:rPr>
              <w:t>强化学习</w:t>
            </w:r>
          </w:p>
        </w:tc>
        <w:tc>
          <w:tcPr>
            <w:tcW w:w="1025" w:type="dxa"/>
            <w:vAlign w:val="center"/>
          </w:tcPr>
          <w:p w14:paraId="0C288391">
            <w:pPr>
              <w:widowControl/>
              <w:jc w:val="center"/>
              <w:rPr>
                <w:rFonts w:hint="eastAsia" w:ascii="仿宋" w:hAnsi="仿宋" w:eastAsia="仿宋"/>
                <w:b/>
                <w:spacing w:val="20"/>
                <w:sz w:val="18"/>
                <w:szCs w:val="18"/>
              </w:rPr>
            </w:pPr>
          </w:p>
        </w:tc>
        <w:tc>
          <w:tcPr>
            <w:tcW w:w="488" w:type="dxa"/>
            <w:vAlign w:val="center"/>
          </w:tcPr>
          <w:p w14:paraId="094C0C20">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4579CED0">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6CFFDB53">
            <w:pPr>
              <w:widowControl/>
              <w:jc w:val="center"/>
              <w:rPr>
                <w:rFonts w:hint="eastAsia" w:ascii="仿宋" w:hAnsi="仿宋" w:eastAsia="仿宋"/>
                <w:b/>
                <w:spacing w:val="20"/>
                <w:sz w:val="18"/>
                <w:szCs w:val="18"/>
              </w:rPr>
            </w:pPr>
            <w:r>
              <w:rPr>
                <w:rFonts w:hint="eastAsia" w:ascii="仿宋" w:hAnsi="仿宋" w:eastAsia="仿宋" w:cs="微软雅黑"/>
              </w:rPr>
              <w:t>李亚男</w:t>
            </w:r>
          </w:p>
        </w:tc>
        <w:tc>
          <w:tcPr>
            <w:tcW w:w="713" w:type="dxa"/>
            <w:vAlign w:val="center"/>
          </w:tcPr>
          <w:p w14:paraId="2E8DF038">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164571E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01308C4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3E82714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2D41C4A9">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4F2247FB">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7130580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2-2/周日6-9节</w:t>
            </w:r>
          </w:p>
        </w:tc>
        <w:tc>
          <w:tcPr>
            <w:tcW w:w="792" w:type="dxa"/>
            <w:vAlign w:val="center"/>
          </w:tcPr>
          <w:p w14:paraId="66AECBD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1-8周</w:t>
            </w:r>
          </w:p>
        </w:tc>
      </w:tr>
      <w:tr w14:paraId="589B19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Pr>
          <w:p w14:paraId="3C495155">
            <w:pPr>
              <w:widowControl/>
              <w:jc w:val="left"/>
              <w:rPr>
                <w:rFonts w:hint="eastAsia" w:ascii="仿宋" w:hAnsi="仿宋" w:eastAsia="仿宋"/>
                <w:b/>
                <w:spacing w:val="20"/>
                <w:sz w:val="18"/>
                <w:szCs w:val="18"/>
              </w:rPr>
            </w:pPr>
            <w:r>
              <w:rPr>
                <w:rFonts w:hint="eastAsia" w:ascii="仿宋" w:hAnsi="仿宋" w:eastAsia="仿宋"/>
                <w:b/>
                <w:spacing w:val="20"/>
                <w:sz w:val="18"/>
                <w:szCs w:val="18"/>
              </w:rPr>
              <w:t>大语言模型</w:t>
            </w:r>
          </w:p>
        </w:tc>
        <w:tc>
          <w:tcPr>
            <w:tcW w:w="1025" w:type="dxa"/>
            <w:vAlign w:val="center"/>
          </w:tcPr>
          <w:p w14:paraId="63C1F614">
            <w:pPr>
              <w:widowControl/>
              <w:jc w:val="center"/>
              <w:rPr>
                <w:rFonts w:hint="eastAsia" w:ascii="仿宋" w:hAnsi="仿宋" w:eastAsia="仿宋"/>
                <w:b/>
                <w:spacing w:val="20"/>
                <w:sz w:val="18"/>
                <w:szCs w:val="18"/>
              </w:rPr>
            </w:pPr>
          </w:p>
        </w:tc>
        <w:tc>
          <w:tcPr>
            <w:tcW w:w="488" w:type="dxa"/>
            <w:vAlign w:val="center"/>
          </w:tcPr>
          <w:p w14:paraId="230A530E">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w:t>
            </w:r>
          </w:p>
        </w:tc>
        <w:tc>
          <w:tcPr>
            <w:tcW w:w="600" w:type="dxa"/>
            <w:vAlign w:val="center"/>
          </w:tcPr>
          <w:p w14:paraId="5E21083E">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737" w:type="dxa"/>
            <w:vAlign w:val="center"/>
          </w:tcPr>
          <w:p w14:paraId="3446094B">
            <w:pPr>
              <w:widowControl/>
              <w:jc w:val="center"/>
              <w:rPr>
                <w:rFonts w:hint="eastAsia" w:ascii="仿宋" w:hAnsi="仿宋" w:eastAsia="仿宋"/>
                <w:b/>
                <w:spacing w:val="20"/>
                <w:sz w:val="18"/>
                <w:szCs w:val="18"/>
              </w:rPr>
            </w:pPr>
            <w:r>
              <w:rPr>
                <w:rFonts w:hint="eastAsia" w:ascii="仿宋" w:hAnsi="仿宋" w:eastAsia="仿宋" w:cs="微软雅黑"/>
              </w:rPr>
              <w:t>汪念玲</w:t>
            </w:r>
          </w:p>
        </w:tc>
        <w:tc>
          <w:tcPr>
            <w:tcW w:w="713" w:type="dxa"/>
            <w:vAlign w:val="center"/>
          </w:tcPr>
          <w:p w14:paraId="7DDF42C2">
            <w:pPr>
              <w:widowControl/>
              <w:jc w:val="center"/>
              <w:rPr>
                <w:rFonts w:hint="eastAsia" w:ascii="仿宋" w:hAnsi="仿宋" w:eastAsia="仿宋"/>
                <w:b/>
                <w:spacing w:val="20"/>
                <w:sz w:val="18"/>
                <w:szCs w:val="18"/>
              </w:rPr>
            </w:pPr>
            <w:r>
              <w:rPr>
                <w:rFonts w:hint="eastAsia" w:ascii="仿宋" w:hAnsi="仿宋" w:eastAsia="仿宋"/>
                <w:b/>
                <w:spacing w:val="20"/>
                <w:sz w:val="18"/>
                <w:szCs w:val="18"/>
              </w:rPr>
              <w:t>32</w:t>
            </w:r>
          </w:p>
        </w:tc>
        <w:tc>
          <w:tcPr>
            <w:tcW w:w="625" w:type="dxa"/>
            <w:vAlign w:val="center"/>
          </w:tcPr>
          <w:p w14:paraId="7910F55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vAlign w:val="center"/>
          </w:tcPr>
          <w:p w14:paraId="1AA2491B">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12" w:type="dxa"/>
            <w:vAlign w:val="center"/>
          </w:tcPr>
          <w:p w14:paraId="5EDB5391">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75" w:type="dxa"/>
            <w:vAlign w:val="center"/>
          </w:tcPr>
          <w:p w14:paraId="1F21DBD0">
            <w:pPr>
              <w:widowControl/>
              <w:jc w:val="center"/>
              <w:rPr>
                <w:rFonts w:hint="eastAsia" w:ascii="仿宋" w:hAnsi="仿宋" w:eastAsia="仿宋"/>
                <w:b/>
                <w:spacing w:val="20"/>
                <w:sz w:val="18"/>
                <w:szCs w:val="18"/>
              </w:rPr>
            </w:pPr>
            <w:r>
              <w:rPr>
                <w:rFonts w:hint="eastAsia" w:ascii="仿宋" w:hAnsi="仿宋" w:eastAsia="仿宋"/>
                <w:b/>
                <w:spacing w:val="20"/>
                <w:sz w:val="18"/>
                <w:szCs w:val="18"/>
              </w:rPr>
              <w:t>考查</w:t>
            </w:r>
          </w:p>
        </w:tc>
        <w:tc>
          <w:tcPr>
            <w:tcW w:w="763" w:type="dxa"/>
            <w:vAlign w:val="center"/>
          </w:tcPr>
          <w:p w14:paraId="70FA70E2">
            <w:pPr>
              <w:widowControl/>
              <w:jc w:val="center"/>
              <w:rPr>
                <w:rFonts w:hint="eastAsia" w:ascii="仿宋" w:hAnsi="仿宋" w:eastAsia="仿宋"/>
                <w:b/>
                <w:spacing w:val="20"/>
                <w:sz w:val="18"/>
                <w:szCs w:val="18"/>
              </w:rPr>
            </w:pPr>
            <w:r>
              <w:rPr>
                <w:rFonts w:hint="eastAsia" w:ascii="仿宋" w:hAnsi="仿宋" w:eastAsia="仿宋"/>
                <w:b/>
                <w:spacing w:val="20"/>
                <w:sz w:val="18"/>
                <w:szCs w:val="18"/>
              </w:rPr>
              <w:t>金融学院</w:t>
            </w:r>
          </w:p>
        </w:tc>
        <w:tc>
          <w:tcPr>
            <w:tcW w:w="792" w:type="dxa"/>
            <w:vAlign w:val="center"/>
          </w:tcPr>
          <w:p w14:paraId="52C9826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2-2/周六1-5</w:t>
            </w:r>
          </w:p>
        </w:tc>
        <w:tc>
          <w:tcPr>
            <w:tcW w:w="792" w:type="dxa"/>
            <w:vAlign w:val="center"/>
          </w:tcPr>
          <w:p w14:paraId="179C0C93">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1-7周</w:t>
            </w:r>
          </w:p>
        </w:tc>
      </w:tr>
      <w:tr w14:paraId="2C373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59" w:type="dxa"/>
            <w:tcBorders>
              <w:bottom w:val="single" w:color="auto" w:sz="4" w:space="0"/>
            </w:tcBorders>
            <w:vAlign w:val="center"/>
          </w:tcPr>
          <w:p w14:paraId="3FA7F1E1">
            <w:pPr>
              <w:widowControl/>
              <w:jc w:val="center"/>
              <w:rPr>
                <w:rFonts w:hint="eastAsia" w:ascii="黑体" w:hAnsi="黑体" w:eastAsia="黑体"/>
                <w:bCs/>
                <w:sz w:val="18"/>
                <w:szCs w:val="18"/>
              </w:rPr>
            </w:pPr>
            <w:r>
              <w:rPr>
                <w:rFonts w:hint="eastAsia" w:ascii="黑体" w:hAnsi="黑体" w:eastAsia="黑体"/>
                <w:bCs/>
                <w:sz w:val="18"/>
                <w:szCs w:val="18"/>
              </w:rPr>
              <w:t>合计</w:t>
            </w:r>
          </w:p>
        </w:tc>
        <w:tc>
          <w:tcPr>
            <w:tcW w:w="1025" w:type="dxa"/>
            <w:tcBorders>
              <w:bottom w:val="single" w:color="auto" w:sz="4" w:space="0"/>
            </w:tcBorders>
            <w:vAlign w:val="center"/>
          </w:tcPr>
          <w:p w14:paraId="28F708B3">
            <w:pPr>
              <w:widowControl/>
              <w:jc w:val="center"/>
              <w:rPr>
                <w:rFonts w:hint="eastAsia" w:ascii="仿宋" w:hAnsi="仿宋" w:eastAsia="仿宋"/>
                <w:b/>
                <w:spacing w:val="20"/>
                <w:sz w:val="18"/>
                <w:szCs w:val="18"/>
              </w:rPr>
            </w:pPr>
          </w:p>
        </w:tc>
        <w:tc>
          <w:tcPr>
            <w:tcW w:w="488" w:type="dxa"/>
            <w:tcBorders>
              <w:bottom w:val="single" w:color="auto" w:sz="4" w:space="0"/>
            </w:tcBorders>
            <w:vAlign w:val="center"/>
          </w:tcPr>
          <w:p w14:paraId="28158B34">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600" w:type="dxa"/>
            <w:tcBorders>
              <w:bottom w:val="single" w:color="auto" w:sz="4" w:space="0"/>
            </w:tcBorders>
            <w:vAlign w:val="center"/>
          </w:tcPr>
          <w:p w14:paraId="5D8A0B00">
            <w:pPr>
              <w:widowControl/>
              <w:jc w:val="center"/>
              <w:rPr>
                <w:rFonts w:hint="eastAsia" w:ascii="仿宋" w:hAnsi="仿宋" w:eastAsia="仿宋"/>
                <w:b/>
                <w:spacing w:val="20"/>
                <w:sz w:val="18"/>
                <w:szCs w:val="18"/>
              </w:rPr>
            </w:pPr>
            <w:r>
              <w:rPr>
                <w:rFonts w:ascii="仿宋" w:hAnsi="仿宋" w:eastAsia="仿宋"/>
                <w:b/>
                <w:spacing w:val="20"/>
                <w:sz w:val="18"/>
                <w:szCs w:val="18"/>
              </w:rPr>
              <w:t>256</w:t>
            </w:r>
          </w:p>
        </w:tc>
        <w:tc>
          <w:tcPr>
            <w:tcW w:w="737" w:type="dxa"/>
            <w:tcBorders>
              <w:bottom w:val="single" w:color="auto" w:sz="4" w:space="0"/>
            </w:tcBorders>
            <w:vAlign w:val="center"/>
          </w:tcPr>
          <w:p w14:paraId="13D4F949">
            <w:pPr>
              <w:widowControl/>
              <w:jc w:val="center"/>
              <w:rPr>
                <w:rFonts w:hint="eastAsia" w:ascii="仿宋" w:hAnsi="仿宋" w:eastAsia="仿宋"/>
                <w:b/>
                <w:spacing w:val="20"/>
                <w:sz w:val="18"/>
                <w:szCs w:val="18"/>
              </w:rPr>
            </w:pPr>
          </w:p>
        </w:tc>
        <w:tc>
          <w:tcPr>
            <w:tcW w:w="713" w:type="dxa"/>
            <w:tcBorders>
              <w:bottom w:val="single" w:color="auto" w:sz="4" w:space="0"/>
            </w:tcBorders>
            <w:vAlign w:val="center"/>
          </w:tcPr>
          <w:p w14:paraId="6C6C29C7">
            <w:pPr>
              <w:widowControl/>
              <w:jc w:val="center"/>
              <w:rPr>
                <w:rFonts w:hint="eastAsia" w:ascii="仿宋" w:hAnsi="仿宋" w:eastAsia="仿宋"/>
                <w:b/>
                <w:spacing w:val="20"/>
                <w:sz w:val="18"/>
                <w:szCs w:val="18"/>
              </w:rPr>
            </w:pPr>
            <w:r>
              <w:rPr>
                <w:rFonts w:hint="eastAsia" w:ascii="仿宋" w:hAnsi="仿宋" w:eastAsia="仿宋"/>
                <w:b/>
                <w:spacing w:val="20"/>
                <w:sz w:val="18"/>
                <w:szCs w:val="18"/>
              </w:rPr>
              <w:t>240</w:t>
            </w:r>
          </w:p>
        </w:tc>
        <w:tc>
          <w:tcPr>
            <w:tcW w:w="625" w:type="dxa"/>
            <w:tcBorders>
              <w:bottom w:val="single" w:color="auto" w:sz="4" w:space="0"/>
            </w:tcBorders>
            <w:vAlign w:val="center"/>
          </w:tcPr>
          <w:p w14:paraId="0C8BA358">
            <w:pPr>
              <w:widowControl/>
              <w:jc w:val="center"/>
              <w:rPr>
                <w:rFonts w:hint="eastAsia" w:ascii="仿宋" w:hAnsi="仿宋" w:eastAsia="仿宋"/>
                <w:b/>
                <w:spacing w:val="20"/>
                <w:sz w:val="18"/>
                <w:szCs w:val="18"/>
              </w:rPr>
            </w:pPr>
            <w:r>
              <w:rPr>
                <w:rFonts w:hint="eastAsia" w:ascii="仿宋" w:hAnsi="仿宋" w:eastAsia="仿宋"/>
                <w:b/>
                <w:spacing w:val="20"/>
                <w:sz w:val="18"/>
                <w:szCs w:val="18"/>
              </w:rPr>
              <w:t>16</w:t>
            </w:r>
          </w:p>
        </w:tc>
        <w:tc>
          <w:tcPr>
            <w:tcW w:w="725" w:type="dxa"/>
            <w:tcBorders>
              <w:bottom w:val="single" w:color="auto" w:sz="4" w:space="0"/>
            </w:tcBorders>
            <w:vAlign w:val="center"/>
          </w:tcPr>
          <w:p w14:paraId="640617BF">
            <w:pPr>
              <w:widowControl/>
              <w:jc w:val="center"/>
              <w:rPr>
                <w:rFonts w:hint="eastAsia" w:ascii="仿宋" w:hAnsi="仿宋" w:eastAsia="仿宋"/>
                <w:b/>
                <w:spacing w:val="20"/>
                <w:sz w:val="18"/>
                <w:szCs w:val="18"/>
              </w:rPr>
            </w:pPr>
            <w:r>
              <w:rPr>
                <w:rFonts w:hint="eastAsia" w:ascii="仿宋" w:hAnsi="仿宋" w:eastAsia="仿宋"/>
                <w:b/>
                <w:spacing w:val="20"/>
                <w:sz w:val="18"/>
                <w:szCs w:val="18"/>
              </w:rPr>
              <w:t>0</w:t>
            </w:r>
          </w:p>
        </w:tc>
        <w:tc>
          <w:tcPr>
            <w:tcW w:w="712" w:type="dxa"/>
            <w:tcBorders>
              <w:bottom w:val="single" w:color="auto" w:sz="4" w:space="0"/>
            </w:tcBorders>
            <w:vAlign w:val="center"/>
          </w:tcPr>
          <w:p w14:paraId="58C9DDBE">
            <w:pPr>
              <w:widowControl/>
              <w:jc w:val="center"/>
              <w:rPr>
                <w:rFonts w:hint="eastAsia" w:ascii="仿宋" w:hAnsi="仿宋" w:eastAsia="仿宋"/>
                <w:b/>
                <w:spacing w:val="20"/>
                <w:sz w:val="18"/>
                <w:szCs w:val="18"/>
              </w:rPr>
            </w:pPr>
            <w:r>
              <w:rPr>
                <w:rFonts w:ascii="仿宋" w:hAnsi="仿宋" w:eastAsia="仿宋"/>
                <w:b/>
                <w:spacing w:val="20"/>
                <w:sz w:val="18"/>
                <w:szCs w:val="18"/>
              </w:rPr>
              <w:t>256</w:t>
            </w:r>
          </w:p>
        </w:tc>
        <w:tc>
          <w:tcPr>
            <w:tcW w:w="675" w:type="dxa"/>
            <w:tcBorders>
              <w:bottom w:val="single" w:color="auto" w:sz="4" w:space="0"/>
            </w:tcBorders>
            <w:vAlign w:val="center"/>
          </w:tcPr>
          <w:p w14:paraId="534C9651">
            <w:pPr>
              <w:widowControl/>
              <w:jc w:val="center"/>
              <w:rPr>
                <w:rFonts w:hint="eastAsia" w:ascii="仿宋" w:hAnsi="仿宋" w:eastAsia="仿宋"/>
                <w:b/>
                <w:spacing w:val="20"/>
                <w:sz w:val="18"/>
                <w:szCs w:val="18"/>
              </w:rPr>
            </w:pPr>
            <w:r>
              <w:rPr>
                <w:rFonts w:hint="eastAsia" w:ascii="仿宋" w:hAnsi="仿宋" w:eastAsia="仿宋"/>
                <w:b/>
                <w:spacing w:val="20"/>
                <w:sz w:val="18"/>
                <w:szCs w:val="18"/>
              </w:rPr>
              <w:t>-</w:t>
            </w:r>
          </w:p>
        </w:tc>
        <w:tc>
          <w:tcPr>
            <w:tcW w:w="763" w:type="dxa"/>
            <w:tcBorders>
              <w:bottom w:val="single" w:color="auto" w:sz="4" w:space="0"/>
            </w:tcBorders>
            <w:vAlign w:val="center"/>
          </w:tcPr>
          <w:p w14:paraId="3C2F8887">
            <w:pPr>
              <w:widowControl/>
              <w:jc w:val="center"/>
              <w:rPr>
                <w:rFonts w:hint="eastAsia" w:ascii="仿宋" w:hAnsi="仿宋" w:eastAsia="仿宋"/>
                <w:b/>
                <w:spacing w:val="20"/>
                <w:sz w:val="18"/>
                <w:szCs w:val="18"/>
              </w:rPr>
            </w:pPr>
            <w:r>
              <w:rPr>
                <w:rFonts w:hint="eastAsia" w:ascii="仿宋" w:hAnsi="仿宋" w:eastAsia="仿宋"/>
                <w:b/>
                <w:spacing w:val="20"/>
                <w:sz w:val="18"/>
                <w:szCs w:val="18"/>
              </w:rPr>
              <w:t>-</w:t>
            </w:r>
          </w:p>
        </w:tc>
        <w:tc>
          <w:tcPr>
            <w:tcW w:w="792" w:type="dxa"/>
            <w:tcBorders>
              <w:bottom w:val="single" w:color="auto" w:sz="4" w:space="0"/>
            </w:tcBorders>
            <w:vAlign w:val="center"/>
          </w:tcPr>
          <w:p w14:paraId="06957A7D">
            <w:pPr>
              <w:widowControl/>
              <w:jc w:val="center"/>
              <w:rPr>
                <w:rFonts w:hint="eastAsia" w:ascii="仿宋" w:hAnsi="仿宋" w:eastAsia="仿宋"/>
                <w:b/>
                <w:spacing w:val="20"/>
                <w:sz w:val="18"/>
                <w:szCs w:val="18"/>
              </w:rPr>
            </w:pPr>
            <w:r>
              <w:rPr>
                <w:rFonts w:hint="eastAsia" w:ascii="仿宋" w:hAnsi="仿宋" w:eastAsia="仿宋"/>
                <w:b/>
                <w:spacing w:val="20"/>
                <w:sz w:val="18"/>
                <w:szCs w:val="18"/>
              </w:rPr>
              <w:t>-</w:t>
            </w:r>
          </w:p>
        </w:tc>
        <w:tc>
          <w:tcPr>
            <w:tcW w:w="792" w:type="dxa"/>
            <w:tcBorders>
              <w:bottom w:val="single" w:color="auto" w:sz="4" w:space="0"/>
            </w:tcBorders>
            <w:vAlign w:val="center"/>
          </w:tcPr>
          <w:p w14:paraId="2F88BFEA">
            <w:pPr>
              <w:widowControl/>
              <w:jc w:val="center"/>
              <w:rPr>
                <w:rFonts w:hint="eastAsia" w:ascii="仿宋" w:hAnsi="仿宋" w:eastAsia="仿宋"/>
                <w:b/>
                <w:spacing w:val="20"/>
                <w:sz w:val="18"/>
                <w:szCs w:val="18"/>
              </w:rPr>
            </w:pPr>
            <w:r>
              <w:rPr>
                <w:rFonts w:hint="eastAsia" w:ascii="仿宋" w:hAnsi="仿宋" w:eastAsia="仿宋"/>
                <w:b/>
                <w:spacing w:val="20"/>
                <w:sz w:val="18"/>
                <w:szCs w:val="18"/>
              </w:rPr>
              <w:t>-</w:t>
            </w:r>
          </w:p>
        </w:tc>
      </w:tr>
    </w:tbl>
    <w:p w14:paraId="757C1F4C">
      <w:pPr>
        <w:widowControl/>
        <w:spacing w:line="360" w:lineRule="auto"/>
        <w:rPr>
          <w:bCs/>
          <w:sz w:val="24"/>
          <w:szCs w:val="24"/>
        </w:rPr>
      </w:pPr>
      <w:r>
        <w:rPr>
          <w:rFonts w:hint="eastAsia"/>
          <w:bCs/>
          <w:sz w:val="24"/>
          <w:szCs w:val="24"/>
        </w:rPr>
        <w:t>备注：</w:t>
      </w:r>
    </w:p>
    <w:p w14:paraId="35C98EFC">
      <w:pPr>
        <w:widowControl/>
        <w:spacing w:line="360" w:lineRule="auto"/>
        <w:rPr>
          <w:bCs/>
          <w:sz w:val="24"/>
          <w:szCs w:val="24"/>
        </w:rPr>
      </w:pPr>
      <w:r>
        <w:rPr>
          <w:rFonts w:hint="eastAsia"/>
          <w:bCs/>
          <w:sz w:val="24"/>
          <w:szCs w:val="24"/>
        </w:rPr>
        <w:t>1.</w:t>
      </w:r>
      <w:r>
        <w:rPr>
          <w:bCs/>
          <w:sz w:val="24"/>
          <w:szCs w:val="24"/>
        </w:rPr>
        <w:t xml:space="preserve"> </w:t>
      </w:r>
      <w:r>
        <w:rPr>
          <w:rFonts w:hint="eastAsia"/>
          <w:bCs/>
          <w:sz w:val="24"/>
          <w:szCs w:val="24"/>
        </w:rPr>
        <w:t>总学时=理论学时+实践学时（实践教学含实验和上机教学），总学时=线上学时+线下学时；</w:t>
      </w:r>
    </w:p>
    <w:p w14:paraId="307193B5">
      <w:pPr>
        <w:widowControl/>
        <w:spacing w:line="360" w:lineRule="auto"/>
        <w:rPr>
          <w:bCs/>
          <w:sz w:val="24"/>
          <w:szCs w:val="24"/>
        </w:rPr>
      </w:pPr>
      <w:r>
        <w:rPr>
          <w:rFonts w:hint="eastAsia"/>
          <w:bCs/>
          <w:sz w:val="24"/>
          <w:szCs w:val="24"/>
        </w:rPr>
        <w:t>2.</w:t>
      </w:r>
      <w:r>
        <w:rPr>
          <w:bCs/>
          <w:sz w:val="24"/>
          <w:szCs w:val="24"/>
        </w:rPr>
        <w:t xml:space="preserve"> </w:t>
      </w:r>
      <w:r>
        <w:rPr>
          <w:rFonts w:hint="eastAsia"/>
          <w:bCs/>
          <w:sz w:val="24"/>
          <w:szCs w:val="24"/>
        </w:rPr>
        <w:t>课程代码由教务处统一编制，若使用已有微专业课程，需在表中填写已有课程代码。若需开设新课，则课程代码不填，由教务处统一编制；</w:t>
      </w:r>
    </w:p>
    <w:p w14:paraId="38461A89">
      <w:pPr>
        <w:widowControl/>
        <w:spacing w:line="360" w:lineRule="auto"/>
        <w:rPr>
          <w:bCs/>
          <w:sz w:val="24"/>
          <w:szCs w:val="24"/>
        </w:rPr>
      </w:pPr>
      <w:r>
        <w:rPr>
          <w:rFonts w:hint="eastAsia"/>
          <w:bCs/>
          <w:sz w:val="24"/>
          <w:szCs w:val="24"/>
        </w:rPr>
        <w:t>3.“开课学期”要求按照</w:t>
      </w:r>
      <w:r>
        <w:rPr>
          <w:bCs/>
          <w:sz w:val="24"/>
          <w:szCs w:val="24"/>
        </w:rPr>
        <w:t>4</w:t>
      </w:r>
      <w:r>
        <w:rPr>
          <w:rFonts w:hint="eastAsia"/>
          <w:bCs/>
          <w:sz w:val="24"/>
          <w:szCs w:val="24"/>
        </w:rPr>
        <w:t>年制内，于第2-1学期开课，结课时间不能晚于4-2学期。各学院微专业连续开设一年至结业，由秋季开课、春季结业；</w:t>
      </w:r>
    </w:p>
    <w:p w14:paraId="7B0B6CD3">
      <w:pPr>
        <w:widowControl/>
        <w:spacing w:line="360" w:lineRule="auto"/>
        <w:rPr>
          <w:bCs/>
          <w:sz w:val="24"/>
          <w:szCs w:val="24"/>
        </w:rPr>
      </w:pPr>
      <w:r>
        <w:rPr>
          <w:rFonts w:hint="eastAsia"/>
          <w:bCs/>
          <w:sz w:val="24"/>
          <w:szCs w:val="24"/>
        </w:rPr>
        <w:t>4.</w:t>
      </w:r>
      <w:r>
        <w:rPr>
          <w:bCs/>
          <w:sz w:val="24"/>
          <w:szCs w:val="24"/>
        </w:rPr>
        <w:t xml:space="preserve"> </w:t>
      </w:r>
      <w:r>
        <w:rPr>
          <w:rFonts w:hint="eastAsia"/>
          <w:bCs/>
          <w:sz w:val="24"/>
          <w:szCs w:val="24"/>
        </w:rPr>
        <w:t>开课单位填写任课教师所在部门或单位；</w:t>
      </w:r>
    </w:p>
    <w:p w14:paraId="7D71DC53">
      <w:pPr>
        <w:widowControl/>
        <w:spacing w:line="360" w:lineRule="auto"/>
        <w:rPr>
          <w:bCs/>
          <w:sz w:val="24"/>
          <w:szCs w:val="24"/>
        </w:rPr>
      </w:pPr>
      <w:r>
        <w:rPr>
          <w:rFonts w:hint="eastAsia"/>
          <w:bCs/>
          <w:sz w:val="24"/>
          <w:szCs w:val="24"/>
        </w:rPr>
        <w:t>5. 按照2025版本科人才培养方案修订指导意见要求，微专业总学分原则上不超过16学分；</w:t>
      </w:r>
    </w:p>
    <w:p w14:paraId="7E23B3EB">
      <w:pPr>
        <w:widowControl/>
        <w:spacing w:line="360" w:lineRule="auto"/>
        <w:rPr>
          <w:bCs/>
          <w:sz w:val="24"/>
          <w:szCs w:val="24"/>
        </w:rPr>
      </w:pPr>
      <w:r>
        <w:rPr>
          <w:rFonts w:hint="eastAsia"/>
          <w:bCs/>
          <w:sz w:val="24"/>
          <w:szCs w:val="24"/>
        </w:rPr>
        <w:t>6. 上课时间需安排在周六日。</w:t>
      </w:r>
    </w:p>
    <w:p w14:paraId="005AC714">
      <w:pPr>
        <w:widowControl/>
        <w:spacing w:line="360" w:lineRule="auto"/>
        <w:ind w:firstLine="523" w:firstLineChars="187"/>
        <w:jc w:val="left"/>
        <w:rPr>
          <w:rFonts w:hint="eastAsia" w:ascii="黑体" w:hAnsi="黑体" w:eastAsia="黑体" w:cs="黑体"/>
          <w:bCs/>
          <w:sz w:val="28"/>
          <w:szCs w:val="28"/>
        </w:rPr>
      </w:pPr>
      <w:r>
        <w:rPr>
          <w:rFonts w:hint="eastAsia" w:ascii="黑体" w:hAnsi="黑体" w:eastAsia="黑体" w:cs="黑体"/>
          <w:bCs/>
          <w:sz w:val="28"/>
          <w:szCs w:val="28"/>
        </w:rPr>
        <w:t>六、课程简介</w:t>
      </w:r>
    </w:p>
    <w:p w14:paraId="3593F773">
      <w:pPr>
        <w:widowControl/>
        <w:spacing w:line="400" w:lineRule="exact"/>
        <w:ind w:firstLine="480" w:firstLineChars="200"/>
        <w:rPr>
          <w:rFonts w:ascii="仿宋_GB2312" w:eastAsia="仿宋_GB2312"/>
          <w:sz w:val="24"/>
          <w:szCs w:val="24"/>
        </w:rPr>
      </w:pPr>
      <w:r>
        <w:rPr>
          <w:rFonts w:hint="eastAsia" w:ascii="仿宋_GB2312" w:eastAsia="仿宋_GB2312"/>
          <w:sz w:val="24"/>
          <w:szCs w:val="24"/>
        </w:rPr>
        <w:t>对本微专业拟开设的课程进行简要介绍，包括课程主要内容、课程教学设计等，每门课300字以内。</w:t>
      </w:r>
    </w:p>
    <w:tbl>
      <w:tblPr>
        <w:tblStyle w:val="5"/>
        <w:tblW w:w="91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0"/>
        <w:gridCol w:w="2118"/>
        <w:gridCol w:w="5922"/>
      </w:tblGrid>
      <w:tr w14:paraId="5806A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110" w:type="dxa"/>
            <w:tcBorders>
              <w:top w:val="single" w:color="auto" w:sz="4" w:space="0"/>
            </w:tcBorders>
            <w:vAlign w:val="center"/>
          </w:tcPr>
          <w:p w14:paraId="0888BE90">
            <w:pPr>
              <w:widowControl/>
              <w:jc w:val="center"/>
              <w:rPr>
                <w:rFonts w:hint="eastAsia" w:ascii="黑体" w:hAnsi="黑体" w:eastAsia="黑体" w:cs="黑体"/>
                <w:b/>
                <w:spacing w:val="20"/>
                <w:sz w:val="28"/>
                <w:szCs w:val="28"/>
              </w:rPr>
            </w:pPr>
            <w:r>
              <w:rPr>
                <w:rFonts w:hint="eastAsia" w:ascii="黑体" w:hAnsi="黑体" w:eastAsia="黑体" w:cs="黑体"/>
                <w:b/>
                <w:spacing w:val="20"/>
                <w:sz w:val="28"/>
                <w:szCs w:val="28"/>
              </w:rPr>
              <w:t>序号</w:t>
            </w:r>
          </w:p>
        </w:tc>
        <w:tc>
          <w:tcPr>
            <w:tcW w:w="2118" w:type="dxa"/>
            <w:tcBorders>
              <w:top w:val="single" w:color="auto" w:sz="4" w:space="0"/>
            </w:tcBorders>
            <w:vAlign w:val="center"/>
          </w:tcPr>
          <w:p w14:paraId="01035CA1">
            <w:pPr>
              <w:widowControl/>
              <w:jc w:val="center"/>
              <w:rPr>
                <w:rFonts w:hint="eastAsia" w:ascii="黑体" w:hAnsi="黑体" w:eastAsia="黑体" w:cs="黑体"/>
                <w:b/>
                <w:spacing w:val="20"/>
                <w:sz w:val="28"/>
                <w:szCs w:val="28"/>
              </w:rPr>
            </w:pPr>
            <w:r>
              <w:rPr>
                <w:rFonts w:hint="eastAsia" w:ascii="黑体" w:hAnsi="黑体" w:eastAsia="黑体" w:cs="黑体"/>
                <w:b/>
                <w:spacing w:val="20"/>
                <w:sz w:val="28"/>
                <w:szCs w:val="28"/>
              </w:rPr>
              <w:t>课程名称</w:t>
            </w:r>
          </w:p>
        </w:tc>
        <w:tc>
          <w:tcPr>
            <w:tcW w:w="5922" w:type="dxa"/>
            <w:tcBorders>
              <w:top w:val="single" w:color="auto" w:sz="4" w:space="0"/>
              <w:bottom w:val="single" w:color="auto" w:sz="4" w:space="0"/>
            </w:tcBorders>
            <w:vAlign w:val="center"/>
          </w:tcPr>
          <w:p w14:paraId="79053672">
            <w:pPr>
              <w:widowControl/>
              <w:jc w:val="center"/>
              <w:rPr>
                <w:rFonts w:hint="eastAsia" w:ascii="黑体" w:hAnsi="黑体" w:eastAsia="黑体" w:cs="黑体"/>
                <w:bCs/>
                <w:sz w:val="28"/>
                <w:szCs w:val="28"/>
              </w:rPr>
            </w:pPr>
            <w:r>
              <w:rPr>
                <w:rFonts w:hint="eastAsia" w:ascii="黑体" w:hAnsi="黑体" w:eastAsia="黑体" w:cs="黑体"/>
                <w:b/>
                <w:spacing w:val="20"/>
                <w:sz w:val="28"/>
                <w:szCs w:val="28"/>
              </w:rPr>
              <w:t>课程简介</w:t>
            </w:r>
          </w:p>
        </w:tc>
      </w:tr>
      <w:tr w14:paraId="7805C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2" w:hRule="exact"/>
          <w:jc w:val="center"/>
        </w:trPr>
        <w:tc>
          <w:tcPr>
            <w:tcW w:w="1110" w:type="dxa"/>
            <w:vAlign w:val="center"/>
          </w:tcPr>
          <w:p w14:paraId="1287A44F">
            <w:pPr>
              <w:widowControl/>
              <w:jc w:val="center"/>
              <w:rPr>
                <w:rFonts w:hint="eastAsia" w:ascii="黑体" w:hAnsi="黑体" w:eastAsia="黑体"/>
                <w:bCs/>
                <w:sz w:val="18"/>
                <w:szCs w:val="18"/>
              </w:rPr>
            </w:pPr>
            <w:r>
              <w:rPr>
                <w:rFonts w:hint="eastAsia" w:ascii="黑体" w:hAnsi="黑体" w:eastAsia="黑体"/>
                <w:bCs/>
                <w:sz w:val="18"/>
                <w:szCs w:val="18"/>
              </w:rPr>
              <w:t>1</w:t>
            </w:r>
          </w:p>
        </w:tc>
        <w:tc>
          <w:tcPr>
            <w:tcW w:w="2118" w:type="dxa"/>
            <w:vAlign w:val="center"/>
          </w:tcPr>
          <w:p w14:paraId="78B735A0">
            <w:pPr>
              <w:widowControl/>
              <w:jc w:val="center"/>
              <w:rPr>
                <w:rFonts w:hint="eastAsia" w:ascii="黑体" w:hAnsi="黑体" w:eastAsia="黑体"/>
                <w:bCs/>
                <w:sz w:val="18"/>
                <w:szCs w:val="18"/>
              </w:rPr>
            </w:pPr>
            <w:r>
              <w:rPr>
                <w:rFonts w:hint="eastAsia" w:ascii="黑体" w:hAnsi="黑体" w:eastAsia="黑体"/>
                <w:bCs/>
                <w:sz w:val="18"/>
                <w:szCs w:val="18"/>
              </w:rPr>
              <w:t>数字金融（Digital Finance ）</w:t>
            </w:r>
          </w:p>
        </w:tc>
        <w:tc>
          <w:tcPr>
            <w:tcW w:w="5922" w:type="dxa"/>
            <w:tcBorders>
              <w:top w:val="single" w:color="auto" w:sz="4" w:space="0"/>
              <w:bottom w:val="single" w:color="auto" w:sz="4" w:space="0"/>
            </w:tcBorders>
            <w:vAlign w:val="center"/>
          </w:tcPr>
          <w:p w14:paraId="27912D8B">
            <w:pPr>
              <w:widowControl/>
              <w:jc w:val="left"/>
              <w:rPr>
                <w:rFonts w:hint="eastAsia" w:ascii="仿宋" w:hAnsi="仿宋" w:eastAsia="仿宋"/>
                <w:bCs/>
                <w:sz w:val="21"/>
                <w:szCs w:val="21"/>
              </w:rPr>
            </w:pPr>
            <w:r>
              <w:rPr>
                <w:rFonts w:hint="eastAsia" w:ascii="仿宋" w:hAnsi="仿宋" w:eastAsia="仿宋"/>
                <w:bCs/>
                <w:sz w:val="21"/>
                <w:szCs w:val="21"/>
              </w:rPr>
              <w:t>本课程聚焦数字技术重构金融生态的底层逻辑，系统解析数字经济时代金融服务范式的革新路径。课程以数据要素市场化配置为核心线索，构建</w:t>
            </w:r>
            <w:r>
              <w:rPr>
                <w:rFonts w:ascii="仿宋" w:hAnsi="仿宋" w:eastAsia="仿宋"/>
                <w:bCs/>
                <w:sz w:val="21"/>
                <w:szCs w:val="21"/>
              </w:rPr>
              <w:t xml:space="preserve"> “</w:t>
            </w:r>
            <w:r>
              <w:rPr>
                <w:rFonts w:hint="eastAsia" w:ascii="仿宋" w:hAnsi="仿宋" w:eastAsia="仿宋"/>
                <w:bCs/>
                <w:sz w:val="21"/>
                <w:szCs w:val="21"/>
              </w:rPr>
              <w:t>技术赋能</w:t>
            </w:r>
            <w:r>
              <w:rPr>
                <w:rFonts w:ascii="仿宋" w:hAnsi="仿宋" w:eastAsia="仿宋"/>
                <w:bCs/>
                <w:sz w:val="21"/>
                <w:szCs w:val="21"/>
              </w:rPr>
              <w:t xml:space="preserve"> — </w:t>
            </w:r>
            <w:r>
              <w:rPr>
                <w:rFonts w:hint="eastAsia" w:ascii="仿宋" w:hAnsi="仿宋" w:eastAsia="仿宋"/>
                <w:bCs/>
                <w:sz w:val="21"/>
                <w:szCs w:val="21"/>
              </w:rPr>
              <w:t>模式创新</w:t>
            </w:r>
            <w:r>
              <w:rPr>
                <w:rFonts w:ascii="仿宋" w:hAnsi="仿宋" w:eastAsia="仿宋"/>
                <w:bCs/>
                <w:sz w:val="21"/>
                <w:szCs w:val="21"/>
              </w:rPr>
              <w:t xml:space="preserve"> — </w:t>
            </w:r>
            <w:r>
              <w:rPr>
                <w:rFonts w:hint="eastAsia" w:ascii="仿宋" w:hAnsi="仿宋" w:eastAsia="仿宋"/>
                <w:bCs/>
                <w:sz w:val="21"/>
                <w:szCs w:val="21"/>
              </w:rPr>
              <w:t>生态演进”</w:t>
            </w:r>
            <w:r>
              <w:rPr>
                <w:rFonts w:ascii="仿宋" w:hAnsi="仿宋" w:eastAsia="仿宋"/>
                <w:bCs/>
                <w:sz w:val="21"/>
                <w:szCs w:val="21"/>
              </w:rPr>
              <w:t xml:space="preserve"> </w:t>
            </w:r>
            <w:r>
              <w:rPr>
                <w:rFonts w:hint="eastAsia" w:ascii="仿宋" w:hAnsi="仿宋" w:eastAsia="仿宋"/>
                <w:bCs/>
                <w:sz w:val="21"/>
                <w:szCs w:val="21"/>
              </w:rPr>
              <w:t>的分析框架，涵盖数字金融基础理论、核心领域应用及宏观治理体系三大模块。</w:t>
            </w:r>
            <w:r>
              <w:rPr>
                <w:rFonts w:ascii="Cambria Math" w:hAnsi="Cambria Math" w:eastAsia="仿宋" w:cs="Cambria Math"/>
                <w:bCs/>
                <w:sz w:val="21"/>
                <w:szCs w:val="21"/>
              </w:rPr>
              <w:t>​</w:t>
            </w:r>
            <w:r>
              <w:rPr>
                <w:rFonts w:hint="eastAsia" w:ascii="仿宋" w:hAnsi="仿宋" w:eastAsia="仿宋"/>
                <w:bCs/>
                <w:sz w:val="21"/>
                <w:szCs w:val="21"/>
              </w:rPr>
              <w:t>立足数字经济与金融深化的交互关系，阐释数字金融的内涵边界、发展动因及对金融中介理论、货币金融体系的重构效应，揭示数据作为关键生产要素的价值创造机制。核心领域篇围绕数字支付与结算体系（如央行数字货币、跨境支付创新）、数字融资模式（平台金融、供应链金融数字化）、数字资产与投资（智能投顾、数字金融产品设计）、普惠金融数字化实践展开。聚焦数字金融生态的系统性风险特征和应用逻辑。</w:t>
            </w:r>
            <w:r>
              <w:rPr>
                <w:rFonts w:ascii="Cambria Math" w:hAnsi="Cambria Math" w:eastAsia="仿宋" w:cs="Cambria Math"/>
                <w:bCs/>
                <w:sz w:val="21"/>
                <w:szCs w:val="21"/>
              </w:rPr>
              <w:t>​</w:t>
            </w:r>
          </w:p>
          <w:p w14:paraId="078CEF10">
            <w:pPr>
              <w:widowControl/>
              <w:jc w:val="left"/>
              <w:rPr>
                <w:rFonts w:hint="eastAsia" w:ascii="仿宋" w:hAnsi="仿宋" w:eastAsia="仿宋"/>
                <w:bCs/>
                <w:sz w:val="21"/>
                <w:szCs w:val="21"/>
              </w:rPr>
            </w:pPr>
          </w:p>
          <w:p w14:paraId="44BBE9D1">
            <w:pPr>
              <w:widowControl/>
              <w:jc w:val="left"/>
              <w:rPr>
                <w:rFonts w:hint="eastAsia" w:ascii="仿宋" w:hAnsi="仿宋" w:eastAsia="仿宋"/>
                <w:bCs/>
                <w:sz w:val="21"/>
                <w:szCs w:val="21"/>
              </w:rPr>
            </w:pPr>
          </w:p>
        </w:tc>
      </w:tr>
      <w:tr w14:paraId="2F592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4" w:hRule="exact"/>
          <w:jc w:val="center"/>
        </w:trPr>
        <w:tc>
          <w:tcPr>
            <w:tcW w:w="1110" w:type="dxa"/>
            <w:vAlign w:val="center"/>
          </w:tcPr>
          <w:p w14:paraId="10F60E96">
            <w:pPr>
              <w:widowControl/>
              <w:jc w:val="center"/>
              <w:rPr>
                <w:rFonts w:hint="eastAsia" w:ascii="黑体" w:hAnsi="黑体" w:eastAsia="黑体"/>
                <w:bCs/>
                <w:sz w:val="18"/>
                <w:szCs w:val="18"/>
              </w:rPr>
            </w:pPr>
            <w:r>
              <w:rPr>
                <w:rFonts w:hint="eastAsia" w:ascii="黑体" w:hAnsi="黑体" w:eastAsia="黑体"/>
                <w:bCs/>
                <w:sz w:val="18"/>
                <w:szCs w:val="18"/>
              </w:rPr>
              <w:t>2</w:t>
            </w:r>
          </w:p>
        </w:tc>
        <w:tc>
          <w:tcPr>
            <w:tcW w:w="2118" w:type="dxa"/>
            <w:vAlign w:val="center"/>
          </w:tcPr>
          <w:p w14:paraId="4A9A525B">
            <w:pPr>
              <w:widowControl/>
              <w:jc w:val="center"/>
              <w:rPr>
                <w:rFonts w:hint="eastAsia" w:ascii="黑体" w:hAnsi="黑体" w:eastAsia="黑体"/>
                <w:bCs/>
                <w:sz w:val="18"/>
                <w:szCs w:val="18"/>
              </w:rPr>
            </w:pPr>
            <w:r>
              <w:rPr>
                <w:rFonts w:hint="eastAsia" w:ascii="黑体" w:hAnsi="黑体" w:eastAsia="黑体"/>
                <w:bCs/>
                <w:sz w:val="18"/>
                <w:szCs w:val="18"/>
              </w:rPr>
              <w:t xml:space="preserve">金融科技概论(Introduction to Financial </w:t>
            </w:r>
            <w:r>
              <w:rPr>
                <w:rFonts w:ascii="黑体" w:hAnsi="黑体" w:eastAsia="黑体"/>
                <w:bCs/>
                <w:sz w:val="18"/>
                <w:szCs w:val="18"/>
              </w:rPr>
              <w:t>Technology</w:t>
            </w:r>
            <w:r>
              <w:rPr>
                <w:rFonts w:hint="eastAsia" w:ascii="黑体" w:hAnsi="黑体" w:eastAsia="黑体"/>
                <w:bCs/>
                <w:sz w:val="18"/>
                <w:szCs w:val="18"/>
              </w:rPr>
              <w:t>)</w:t>
            </w:r>
          </w:p>
        </w:tc>
        <w:tc>
          <w:tcPr>
            <w:tcW w:w="5922" w:type="dxa"/>
            <w:tcBorders>
              <w:top w:val="single" w:color="auto" w:sz="4" w:space="0"/>
              <w:bottom w:val="single" w:color="auto" w:sz="4" w:space="0"/>
            </w:tcBorders>
            <w:vAlign w:val="center"/>
          </w:tcPr>
          <w:p w14:paraId="1D5639F0">
            <w:pPr>
              <w:widowControl/>
              <w:jc w:val="left"/>
              <w:rPr>
                <w:rFonts w:hint="eastAsia" w:ascii="仿宋" w:hAnsi="仿宋" w:eastAsia="仿宋"/>
                <w:bCs/>
                <w:sz w:val="21"/>
                <w:szCs w:val="21"/>
              </w:rPr>
            </w:pPr>
          </w:p>
          <w:p w14:paraId="0FF96D9A">
            <w:pPr>
              <w:widowControl/>
              <w:jc w:val="left"/>
              <w:rPr>
                <w:rFonts w:hint="eastAsia" w:ascii="仿宋" w:hAnsi="仿宋" w:eastAsia="仿宋"/>
                <w:bCs/>
                <w:sz w:val="21"/>
                <w:szCs w:val="21"/>
              </w:rPr>
            </w:pPr>
            <w:r>
              <w:rPr>
                <w:rFonts w:hint="eastAsia" w:ascii="仿宋" w:hAnsi="仿宋" w:eastAsia="仿宋"/>
                <w:bCs/>
                <w:sz w:val="21"/>
                <w:szCs w:val="21"/>
              </w:rPr>
              <w:t>本课程立足科技与金融创新发展的融合规律，探讨金融科技条件下金融服务的创新形式，解释金融科技生成机制、基本功能、运作管理、宏微观效应、政策与监管问题。课程内容分为原理篇、业务篇和管理篇三部分。原理篇将介绍金融科技发展的推动力、约束因素与技术改进、金融科技与资源配置；分别介绍人工智能、区块链、云计算和大数据的技术基础以及该技术促进金融发展的商业逻辑。业务篇将介绍金融行业中的科技发展与应用，具体包括商业银行、另类信贷、证券行业、资产管理行业和保险五大行业，以及科技与金融监管的关系。管理篇包括信用管理与大数据征信、金融科技监管、大数据金融创新与发展、金融科技与宏观管理等内容。</w:t>
            </w:r>
          </w:p>
          <w:p w14:paraId="6EEE765F">
            <w:pPr>
              <w:widowControl/>
              <w:jc w:val="left"/>
              <w:rPr>
                <w:rFonts w:hint="eastAsia" w:ascii="仿宋" w:hAnsi="仿宋" w:eastAsia="仿宋"/>
                <w:bCs/>
                <w:sz w:val="21"/>
                <w:szCs w:val="21"/>
              </w:rPr>
            </w:pPr>
          </w:p>
          <w:p w14:paraId="4D401B03">
            <w:pPr>
              <w:widowControl/>
              <w:jc w:val="left"/>
              <w:rPr>
                <w:rFonts w:hint="eastAsia" w:ascii="仿宋" w:hAnsi="仿宋" w:eastAsia="仿宋"/>
                <w:bCs/>
                <w:sz w:val="21"/>
                <w:szCs w:val="21"/>
              </w:rPr>
            </w:pPr>
          </w:p>
        </w:tc>
      </w:tr>
      <w:tr w14:paraId="7DAA5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82" w:hRule="exact"/>
          <w:jc w:val="center"/>
        </w:trPr>
        <w:tc>
          <w:tcPr>
            <w:tcW w:w="1110" w:type="dxa"/>
            <w:vAlign w:val="center"/>
          </w:tcPr>
          <w:p w14:paraId="0B8828FF">
            <w:pPr>
              <w:widowControl/>
              <w:jc w:val="center"/>
              <w:rPr>
                <w:rFonts w:hint="eastAsia" w:ascii="黑体" w:hAnsi="黑体" w:eastAsia="黑体"/>
                <w:bCs/>
                <w:sz w:val="18"/>
                <w:szCs w:val="18"/>
              </w:rPr>
            </w:pPr>
            <w:r>
              <w:rPr>
                <w:rFonts w:hint="eastAsia" w:ascii="黑体" w:hAnsi="黑体" w:eastAsia="黑体"/>
                <w:bCs/>
                <w:sz w:val="18"/>
                <w:szCs w:val="18"/>
              </w:rPr>
              <w:t>3</w:t>
            </w:r>
          </w:p>
        </w:tc>
        <w:tc>
          <w:tcPr>
            <w:tcW w:w="2118" w:type="dxa"/>
            <w:vAlign w:val="center"/>
          </w:tcPr>
          <w:p w14:paraId="019963E1">
            <w:pPr>
              <w:widowControl/>
              <w:jc w:val="center"/>
              <w:rPr>
                <w:rFonts w:hint="eastAsia" w:ascii="黑体" w:hAnsi="黑体" w:eastAsia="黑体"/>
                <w:bCs/>
                <w:sz w:val="18"/>
                <w:szCs w:val="18"/>
              </w:rPr>
            </w:pPr>
            <w:r>
              <w:rPr>
                <w:rFonts w:hint="eastAsia" w:ascii="黑体" w:hAnsi="黑体" w:eastAsia="黑体"/>
                <w:bCs/>
                <w:sz w:val="18"/>
                <w:szCs w:val="18"/>
              </w:rPr>
              <w:t xml:space="preserve">量化金融学(Quantitative </w:t>
            </w:r>
            <w:r>
              <w:rPr>
                <w:rFonts w:ascii="黑体" w:hAnsi="黑体" w:eastAsia="黑体"/>
                <w:bCs/>
                <w:sz w:val="18"/>
                <w:szCs w:val="18"/>
              </w:rPr>
              <w:t>Financ</w:t>
            </w:r>
            <w:r>
              <w:rPr>
                <w:rFonts w:hint="eastAsia" w:ascii="黑体" w:hAnsi="黑体" w:eastAsia="黑体"/>
                <w:bCs/>
                <w:sz w:val="18"/>
                <w:szCs w:val="18"/>
              </w:rPr>
              <w:t>e)</w:t>
            </w:r>
          </w:p>
        </w:tc>
        <w:tc>
          <w:tcPr>
            <w:tcW w:w="5922" w:type="dxa"/>
            <w:tcBorders>
              <w:top w:val="single" w:color="auto" w:sz="4" w:space="0"/>
              <w:bottom w:val="single" w:color="auto" w:sz="4" w:space="0"/>
            </w:tcBorders>
            <w:vAlign w:val="center"/>
          </w:tcPr>
          <w:p w14:paraId="74996CC7">
            <w:pPr>
              <w:widowControl/>
              <w:jc w:val="left"/>
              <w:rPr>
                <w:rFonts w:hint="eastAsia" w:ascii="仿宋" w:hAnsi="仿宋" w:eastAsia="仿宋"/>
                <w:bCs/>
                <w:sz w:val="21"/>
                <w:szCs w:val="21"/>
              </w:rPr>
            </w:pPr>
          </w:p>
          <w:p w14:paraId="3CEEF76B">
            <w:pPr>
              <w:widowControl/>
              <w:jc w:val="left"/>
              <w:rPr>
                <w:rFonts w:hint="eastAsia" w:ascii="仿宋" w:hAnsi="仿宋" w:eastAsia="仿宋"/>
                <w:bCs/>
                <w:sz w:val="21"/>
                <w:szCs w:val="21"/>
              </w:rPr>
            </w:pPr>
            <w:r>
              <w:rPr>
                <w:rFonts w:hint="eastAsia" w:ascii="仿宋" w:hAnsi="仿宋" w:eastAsia="仿宋"/>
                <w:bCs/>
                <w:sz w:val="21"/>
                <w:szCs w:val="21"/>
              </w:rPr>
              <w:t>本课程系统讲授量化金融学，着重知识体系构建和学科发展梳理，“量化金融”作为金融科技、人工智能发展历程中的重要一环，承接金融工程学、金融衍生品学、金融计量学、量化投资学、大数据金融学、风险管理学等相关学科专业知识体系，有其自身的特点，授课内容主要包括：量化金融学发展史、金融工程学发展史、量化金融学的主要分析框架、衍生品定价基础、量化投资学基础与原理、风险管理学基础、金融计量学在投融资中的应用等知识。</w:t>
            </w:r>
          </w:p>
          <w:p w14:paraId="3696A341">
            <w:pPr>
              <w:widowControl/>
              <w:jc w:val="left"/>
              <w:rPr>
                <w:rFonts w:hint="eastAsia" w:ascii="仿宋" w:hAnsi="仿宋" w:eastAsia="仿宋"/>
                <w:bCs/>
                <w:sz w:val="21"/>
                <w:szCs w:val="21"/>
              </w:rPr>
            </w:pPr>
          </w:p>
          <w:p w14:paraId="4C01D738">
            <w:pPr>
              <w:widowControl/>
              <w:jc w:val="left"/>
              <w:rPr>
                <w:rFonts w:hint="eastAsia" w:ascii="仿宋" w:hAnsi="仿宋" w:eastAsia="仿宋"/>
                <w:bCs/>
                <w:sz w:val="21"/>
                <w:szCs w:val="21"/>
              </w:rPr>
            </w:pPr>
          </w:p>
        </w:tc>
      </w:tr>
      <w:tr w14:paraId="46F50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6" w:hRule="exact"/>
          <w:jc w:val="center"/>
        </w:trPr>
        <w:tc>
          <w:tcPr>
            <w:tcW w:w="1110" w:type="dxa"/>
            <w:vAlign w:val="center"/>
          </w:tcPr>
          <w:p w14:paraId="0B65AF2A">
            <w:pPr>
              <w:widowControl/>
              <w:jc w:val="center"/>
              <w:rPr>
                <w:rFonts w:hint="eastAsia" w:ascii="黑体" w:hAnsi="黑体" w:eastAsia="黑体"/>
                <w:bCs/>
                <w:sz w:val="18"/>
                <w:szCs w:val="18"/>
              </w:rPr>
            </w:pPr>
            <w:r>
              <w:rPr>
                <w:rFonts w:hint="eastAsia" w:ascii="黑体" w:hAnsi="黑体" w:eastAsia="黑体"/>
                <w:bCs/>
                <w:sz w:val="18"/>
                <w:szCs w:val="18"/>
              </w:rPr>
              <w:t>4</w:t>
            </w:r>
          </w:p>
        </w:tc>
        <w:tc>
          <w:tcPr>
            <w:tcW w:w="2118" w:type="dxa"/>
            <w:vAlign w:val="center"/>
          </w:tcPr>
          <w:p w14:paraId="56FD8BBD">
            <w:pPr>
              <w:widowControl/>
              <w:jc w:val="center"/>
              <w:rPr>
                <w:rFonts w:hint="eastAsia" w:ascii="黑体" w:hAnsi="黑体" w:eastAsia="黑体"/>
                <w:bCs/>
                <w:sz w:val="18"/>
                <w:szCs w:val="18"/>
              </w:rPr>
            </w:pPr>
            <w:r>
              <w:rPr>
                <w:rFonts w:hint="eastAsia" w:ascii="黑体" w:hAnsi="黑体" w:eastAsia="黑体"/>
                <w:bCs/>
                <w:sz w:val="18"/>
                <w:szCs w:val="18"/>
              </w:rPr>
              <w:t>机器学习与投资(Machine Learning and Investment)</w:t>
            </w:r>
          </w:p>
        </w:tc>
        <w:tc>
          <w:tcPr>
            <w:tcW w:w="5922" w:type="dxa"/>
            <w:tcBorders>
              <w:top w:val="single" w:color="auto" w:sz="4" w:space="0"/>
              <w:bottom w:val="single" w:color="auto" w:sz="4" w:space="0"/>
            </w:tcBorders>
            <w:vAlign w:val="center"/>
          </w:tcPr>
          <w:p w14:paraId="57E6B550">
            <w:pPr>
              <w:widowControl/>
              <w:jc w:val="left"/>
              <w:rPr>
                <w:rFonts w:hint="eastAsia" w:ascii="仿宋" w:hAnsi="仿宋" w:eastAsia="仿宋"/>
                <w:bCs/>
                <w:sz w:val="21"/>
                <w:szCs w:val="21"/>
              </w:rPr>
            </w:pPr>
          </w:p>
          <w:p w14:paraId="48C6AE3B">
            <w:pPr>
              <w:widowControl/>
              <w:jc w:val="left"/>
              <w:rPr>
                <w:rFonts w:hint="eastAsia" w:ascii="仿宋" w:hAnsi="仿宋" w:eastAsia="仿宋"/>
                <w:bCs/>
                <w:sz w:val="21"/>
                <w:szCs w:val="21"/>
              </w:rPr>
            </w:pPr>
          </w:p>
          <w:p w14:paraId="636C2ABE">
            <w:pPr>
              <w:widowControl/>
              <w:jc w:val="left"/>
              <w:rPr>
                <w:rFonts w:hint="eastAsia" w:ascii="仿宋" w:hAnsi="仿宋" w:eastAsia="仿宋"/>
                <w:bCs/>
                <w:sz w:val="21"/>
                <w:szCs w:val="21"/>
              </w:rPr>
            </w:pPr>
            <w:r>
              <w:rPr>
                <w:rFonts w:hint="eastAsia" w:ascii="仿宋" w:hAnsi="仿宋" w:eastAsia="仿宋"/>
                <w:bCs/>
                <w:sz w:val="21"/>
                <w:szCs w:val="21"/>
              </w:rPr>
              <w:t>本课程是一门跨学科的复合型课程，旨在讲授机器学习前沿理论在金融和投资领域的应用。课程通过将机器学习与计算机编程、统计学、计量经济学的知识紧密结合，致力于培养学生利用这些跨学科知识来分析和解决金融投资问题，特别是在运用机器学习技术进行金融大数据分析、构建投资策略，以及优化投资组合方面。教学设计重视实用技能与理论知识的平衡，涵盖了机器学习基础、量化投资学理论及其前沿进展等内容。课程内容包括绪论、线性回归、分类算法、神经网络、模型选择与正则化、决策树、支持向量机等主题。此外，课程还将介绍深度学习理论、量化投资应用，以及金融投资中的关键技术和方法。结合最新的行业发展和研究趋势，确保学生掌握当前市场最需要的技能和知识。通过本课程的学习，学生不仅能深入理解机器学习在金融投资中的应用，还将显著提升处理复杂投资问题的综合能力。</w:t>
            </w:r>
          </w:p>
          <w:p w14:paraId="49A99AE0">
            <w:pPr>
              <w:widowControl/>
              <w:jc w:val="left"/>
              <w:rPr>
                <w:rFonts w:hint="eastAsia" w:ascii="仿宋" w:hAnsi="仿宋" w:eastAsia="仿宋"/>
                <w:bCs/>
                <w:sz w:val="21"/>
                <w:szCs w:val="21"/>
              </w:rPr>
            </w:pPr>
          </w:p>
          <w:p w14:paraId="4E379FA9">
            <w:pPr>
              <w:widowControl/>
              <w:jc w:val="left"/>
              <w:rPr>
                <w:rFonts w:hint="eastAsia" w:ascii="仿宋" w:hAnsi="仿宋" w:eastAsia="仿宋"/>
                <w:bCs/>
                <w:sz w:val="21"/>
                <w:szCs w:val="21"/>
              </w:rPr>
            </w:pPr>
          </w:p>
        </w:tc>
      </w:tr>
      <w:tr w14:paraId="2C385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3" w:hRule="exact"/>
          <w:jc w:val="center"/>
        </w:trPr>
        <w:tc>
          <w:tcPr>
            <w:tcW w:w="1110" w:type="dxa"/>
            <w:vAlign w:val="center"/>
          </w:tcPr>
          <w:p w14:paraId="412EF740">
            <w:pPr>
              <w:widowControl/>
              <w:jc w:val="center"/>
              <w:rPr>
                <w:rFonts w:hint="eastAsia" w:ascii="黑体" w:hAnsi="黑体" w:eastAsia="黑体"/>
                <w:bCs/>
                <w:sz w:val="18"/>
                <w:szCs w:val="18"/>
              </w:rPr>
            </w:pPr>
            <w:r>
              <w:rPr>
                <w:rFonts w:hint="eastAsia" w:ascii="黑体" w:hAnsi="黑体" w:eastAsia="黑体"/>
                <w:bCs/>
                <w:sz w:val="18"/>
                <w:szCs w:val="18"/>
              </w:rPr>
              <w:t>5</w:t>
            </w:r>
          </w:p>
        </w:tc>
        <w:tc>
          <w:tcPr>
            <w:tcW w:w="2118" w:type="dxa"/>
            <w:vAlign w:val="center"/>
          </w:tcPr>
          <w:p w14:paraId="41D01BFB">
            <w:pPr>
              <w:widowControl/>
              <w:jc w:val="center"/>
              <w:rPr>
                <w:rFonts w:hint="eastAsia" w:ascii="黑体" w:hAnsi="黑体" w:eastAsia="黑体"/>
                <w:bCs/>
                <w:sz w:val="18"/>
                <w:szCs w:val="18"/>
              </w:rPr>
            </w:pPr>
            <w:r>
              <w:rPr>
                <w:rFonts w:hint="eastAsia" w:ascii="黑体" w:hAnsi="黑体" w:eastAsia="黑体"/>
                <w:bCs/>
                <w:sz w:val="18"/>
                <w:szCs w:val="18"/>
              </w:rPr>
              <w:t>深度学习(Deep Learning)</w:t>
            </w:r>
          </w:p>
        </w:tc>
        <w:tc>
          <w:tcPr>
            <w:tcW w:w="5922" w:type="dxa"/>
            <w:tcBorders>
              <w:top w:val="single" w:color="auto" w:sz="4" w:space="0"/>
              <w:bottom w:val="single" w:color="auto" w:sz="4" w:space="0"/>
            </w:tcBorders>
            <w:vAlign w:val="center"/>
          </w:tcPr>
          <w:p w14:paraId="67CE3BD5">
            <w:pPr>
              <w:widowControl/>
              <w:jc w:val="left"/>
              <w:rPr>
                <w:rFonts w:hint="eastAsia" w:ascii="仿宋" w:hAnsi="仿宋" w:eastAsia="仿宋"/>
                <w:bCs/>
                <w:sz w:val="21"/>
                <w:szCs w:val="21"/>
              </w:rPr>
            </w:pPr>
          </w:p>
          <w:p w14:paraId="6DDA3770">
            <w:pPr>
              <w:widowControl/>
              <w:jc w:val="left"/>
              <w:rPr>
                <w:rFonts w:hint="eastAsia" w:ascii="仿宋" w:hAnsi="仿宋" w:eastAsia="仿宋"/>
                <w:bCs/>
                <w:sz w:val="21"/>
                <w:szCs w:val="21"/>
              </w:rPr>
            </w:pPr>
            <w:r>
              <w:rPr>
                <w:rFonts w:hint="eastAsia" w:ascii="仿宋" w:hAnsi="仿宋" w:eastAsia="仿宋"/>
                <w:bCs/>
                <w:sz w:val="21"/>
                <w:szCs w:val="21"/>
              </w:rPr>
              <w:t>本课程聚焦机器学习进阶领域，系统讲解深度神经网络的核心理论与实践应用。课程以神经科学启发的多层非线性模型为切入点，重点解析卷积神经网络（CNN）、循环神经网络（RNN）、Transformer 等主流架构的设计原理、优化机制及工程实现，涵盖反向传播算法改进、正则化技术（Dropout/BatchNorm）、注意力机制等关键训练技术。通过图像分类（ResNet）、自然语言处理（Seq2Seq）、生成模型（GAN/VAE）等典型场景案例，演示深度学习在计算机视觉、语音识别、推荐系统中的建模流程。课程强调理论与代码实现结合，要求学生掌握 PyTorch/华为昇腾Mindspore 框架，完成从数据预处理到模型调优的全流程实践，为后续大语言模型课程奠定神经网络架构基础。</w:t>
            </w:r>
          </w:p>
          <w:p w14:paraId="678DB474">
            <w:pPr>
              <w:widowControl/>
              <w:jc w:val="left"/>
              <w:rPr>
                <w:rFonts w:hint="eastAsia" w:ascii="仿宋" w:hAnsi="仿宋" w:eastAsia="仿宋"/>
                <w:bCs/>
                <w:sz w:val="21"/>
                <w:szCs w:val="21"/>
              </w:rPr>
            </w:pPr>
          </w:p>
          <w:p w14:paraId="4250AE37">
            <w:pPr>
              <w:widowControl/>
              <w:jc w:val="left"/>
              <w:rPr>
                <w:rFonts w:hint="eastAsia" w:ascii="仿宋" w:hAnsi="仿宋" w:eastAsia="仿宋"/>
                <w:bCs/>
                <w:sz w:val="21"/>
                <w:szCs w:val="21"/>
              </w:rPr>
            </w:pPr>
          </w:p>
        </w:tc>
      </w:tr>
      <w:tr w14:paraId="41F0B6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5" w:hRule="exact"/>
          <w:jc w:val="center"/>
        </w:trPr>
        <w:tc>
          <w:tcPr>
            <w:tcW w:w="1110" w:type="dxa"/>
            <w:vAlign w:val="center"/>
          </w:tcPr>
          <w:p w14:paraId="08C60F2E">
            <w:pPr>
              <w:widowControl/>
              <w:jc w:val="center"/>
              <w:rPr>
                <w:rFonts w:hint="eastAsia" w:ascii="黑体" w:hAnsi="黑体" w:eastAsia="黑体"/>
                <w:bCs/>
                <w:sz w:val="18"/>
                <w:szCs w:val="18"/>
              </w:rPr>
            </w:pPr>
            <w:r>
              <w:rPr>
                <w:rFonts w:hint="eastAsia" w:ascii="黑体" w:hAnsi="黑体" w:eastAsia="黑体"/>
                <w:bCs/>
                <w:sz w:val="18"/>
                <w:szCs w:val="18"/>
              </w:rPr>
              <w:t>6</w:t>
            </w:r>
          </w:p>
        </w:tc>
        <w:tc>
          <w:tcPr>
            <w:tcW w:w="2118" w:type="dxa"/>
            <w:vAlign w:val="center"/>
          </w:tcPr>
          <w:p w14:paraId="3140FA08">
            <w:pPr>
              <w:widowControl/>
              <w:jc w:val="center"/>
              <w:rPr>
                <w:rFonts w:hint="eastAsia" w:ascii="黑体" w:hAnsi="黑体" w:eastAsia="黑体"/>
                <w:bCs/>
                <w:sz w:val="18"/>
                <w:szCs w:val="18"/>
              </w:rPr>
            </w:pPr>
            <w:r>
              <w:rPr>
                <w:rFonts w:hint="eastAsia" w:ascii="黑体" w:hAnsi="黑体" w:eastAsia="黑体"/>
                <w:bCs/>
                <w:sz w:val="18"/>
                <w:szCs w:val="18"/>
              </w:rPr>
              <w:t>强化学习(Reinforcement Learning)</w:t>
            </w:r>
          </w:p>
        </w:tc>
        <w:tc>
          <w:tcPr>
            <w:tcW w:w="5922" w:type="dxa"/>
            <w:tcBorders>
              <w:top w:val="single" w:color="auto" w:sz="4" w:space="0"/>
              <w:bottom w:val="single" w:color="auto" w:sz="4" w:space="0"/>
            </w:tcBorders>
            <w:vAlign w:val="center"/>
          </w:tcPr>
          <w:p w14:paraId="24C4BFBA">
            <w:pPr>
              <w:widowControl/>
              <w:jc w:val="left"/>
              <w:rPr>
                <w:rFonts w:hint="eastAsia" w:ascii="仿宋" w:hAnsi="仿宋" w:eastAsia="仿宋"/>
                <w:bCs/>
                <w:sz w:val="21"/>
                <w:szCs w:val="21"/>
              </w:rPr>
            </w:pPr>
          </w:p>
          <w:p w14:paraId="2AFC0C9A">
            <w:pPr>
              <w:widowControl/>
              <w:jc w:val="left"/>
              <w:rPr>
                <w:rFonts w:hint="eastAsia" w:ascii="仿宋" w:hAnsi="仿宋" w:eastAsia="仿宋"/>
                <w:bCs/>
                <w:sz w:val="21"/>
                <w:szCs w:val="21"/>
              </w:rPr>
            </w:pPr>
            <w:r>
              <w:rPr>
                <w:rFonts w:ascii="仿宋" w:hAnsi="仿宋" w:eastAsia="仿宋"/>
                <w:bCs/>
                <w:sz w:val="21"/>
                <w:szCs w:val="21"/>
              </w:rPr>
              <w:t>本课程围绕动态决策问题，系统讲授智能体与环境交互的学习机制。以马尔可夫决策过程（MDP）为理论核心，深入解析值函数估计（Q学习、SARSA）、策略搜索（Policy Gradient、TRPO）、模型基方法（Dyna）等核心算法，突破探索-利用平衡、信用分配等关键难题。结合深度强化学习（DQN、PPO、SAC）在博弈、机器人控制、自动驾驶等前沿领域的应用，学习状态空间表征、奖励函数设计及算法优化技巧。课程借助Gym/PyBullet平台开展实战，让学生掌握从环境建模到策略优化的完整流程，与《深度学习》课程形成知识互补。</w:t>
            </w:r>
          </w:p>
          <w:p w14:paraId="227C351B">
            <w:pPr>
              <w:widowControl/>
              <w:jc w:val="left"/>
              <w:rPr>
                <w:rFonts w:hint="eastAsia" w:ascii="仿宋" w:hAnsi="仿宋" w:eastAsia="仿宋"/>
                <w:bCs/>
                <w:sz w:val="21"/>
                <w:szCs w:val="21"/>
              </w:rPr>
            </w:pPr>
          </w:p>
          <w:p w14:paraId="120E1963">
            <w:pPr>
              <w:widowControl/>
              <w:jc w:val="left"/>
              <w:rPr>
                <w:rFonts w:hint="eastAsia" w:ascii="仿宋" w:hAnsi="仿宋" w:eastAsia="仿宋"/>
                <w:bCs/>
                <w:sz w:val="21"/>
                <w:szCs w:val="21"/>
              </w:rPr>
            </w:pPr>
          </w:p>
        </w:tc>
      </w:tr>
      <w:tr w14:paraId="6B084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9" w:hRule="exact"/>
          <w:jc w:val="center"/>
        </w:trPr>
        <w:tc>
          <w:tcPr>
            <w:tcW w:w="1110" w:type="dxa"/>
            <w:vAlign w:val="center"/>
          </w:tcPr>
          <w:p w14:paraId="4AA43C90">
            <w:pPr>
              <w:widowControl/>
              <w:jc w:val="center"/>
              <w:rPr>
                <w:rFonts w:hint="eastAsia" w:ascii="黑体" w:hAnsi="黑体" w:eastAsia="黑体"/>
                <w:bCs/>
                <w:sz w:val="18"/>
                <w:szCs w:val="18"/>
              </w:rPr>
            </w:pPr>
            <w:r>
              <w:rPr>
                <w:rFonts w:hint="eastAsia" w:ascii="黑体" w:hAnsi="黑体" w:eastAsia="黑体"/>
                <w:bCs/>
                <w:sz w:val="18"/>
                <w:szCs w:val="18"/>
              </w:rPr>
              <w:t>7</w:t>
            </w:r>
          </w:p>
        </w:tc>
        <w:tc>
          <w:tcPr>
            <w:tcW w:w="2118" w:type="dxa"/>
            <w:vAlign w:val="center"/>
          </w:tcPr>
          <w:p w14:paraId="19B438F5">
            <w:pPr>
              <w:widowControl/>
              <w:jc w:val="center"/>
              <w:rPr>
                <w:rFonts w:hint="eastAsia" w:ascii="黑体" w:hAnsi="黑体" w:eastAsia="黑体"/>
                <w:bCs/>
                <w:sz w:val="18"/>
                <w:szCs w:val="18"/>
              </w:rPr>
            </w:pPr>
            <w:r>
              <w:rPr>
                <w:rFonts w:hint="eastAsia" w:ascii="黑体" w:hAnsi="黑体" w:eastAsia="黑体"/>
                <w:bCs/>
                <w:sz w:val="18"/>
                <w:szCs w:val="18"/>
              </w:rPr>
              <w:t>大语言模型(LLM)</w:t>
            </w:r>
          </w:p>
        </w:tc>
        <w:tc>
          <w:tcPr>
            <w:tcW w:w="5922" w:type="dxa"/>
            <w:tcBorders>
              <w:top w:val="single" w:color="auto" w:sz="4" w:space="0"/>
              <w:bottom w:val="single" w:color="auto" w:sz="4" w:space="0"/>
            </w:tcBorders>
            <w:vAlign w:val="center"/>
          </w:tcPr>
          <w:p w14:paraId="31F9BDE9">
            <w:pPr>
              <w:widowControl/>
              <w:jc w:val="left"/>
              <w:rPr>
                <w:rFonts w:hint="eastAsia" w:ascii="仿宋" w:hAnsi="仿宋" w:eastAsia="仿宋"/>
                <w:bCs/>
                <w:sz w:val="21"/>
                <w:szCs w:val="21"/>
              </w:rPr>
            </w:pPr>
          </w:p>
          <w:p w14:paraId="54F7623E">
            <w:pPr>
              <w:widowControl/>
              <w:jc w:val="left"/>
              <w:rPr>
                <w:rFonts w:hint="eastAsia" w:ascii="仿宋" w:hAnsi="仿宋" w:eastAsia="仿宋"/>
                <w:bCs/>
                <w:sz w:val="21"/>
                <w:szCs w:val="21"/>
              </w:rPr>
            </w:pPr>
          </w:p>
          <w:p w14:paraId="3180D31E">
            <w:pPr>
              <w:widowControl/>
              <w:jc w:val="left"/>
              <w:rPr>
                <w:rFonts w:hint="eastAsia" w:ascii="仿宋" w:hAnsi="仿宋" w:eastAsia="仿宋"/>
                <w:bCs/>
                <w:sz w:val="21"/>
                <w:szCs w:val="21"/>
              </w:rPr>
            </w:pPr>
            <w:r>
              <w:rPr>
                <w:rFonts w:ascii="仿宋" w:hAnsi="仿宋" w:eastAsia="仿宋"/>
                <w:bCs/>
                <w:sz w:val="21"/>
                <w:szCs w:val="21"/>
              </w:rPr>
              <w:t>本课程作为深度学习与强化学习的进阶延伸，专注于大规模语言模型的理论与实践。以Transformer架构为基础，系统讲解预训练语言模型（BERT/GPT系列）的自监督学习范式、分布式训练技术及多模态融合方法，重点突破上下文理解、长文本建模、模型对齐等核心技术。结合微调、提示工程、RLHF等技术在文本生成、知识推理、代码生成中的应用，探讨模型评估、伦理风险及轻量化部署方案。课程基于Hugging Face工具链开展实践，培养学生对大语言模型从开发到落地的全流程能力。</w:t>
            </w:r>
          </w:p>
          <w:p w14:paraId="363003A2">
            <w:pPr>
              <w:widowControl/>
              <w:jc w:val="left"/>
              <w:rPr>
                <w:rFonts w:hint="eastAsia" w:ascii="仿宋" w:hAnsi="仿宋" w:eastAsia="仿宋"/>
                <w:bCs/>
                <w:sz w:val="21"/>
                <w:szCs w:val="21"/>
              </w:rPr>
            </w:pPr>
          </w:p>
        </w:tc>
      </w:tr>
      <w:tr w14:paraId="3A1C8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4" w:hRule="exact"/>
          <w:jc w:val="center"/>
        </w:trPr>
        <w:tc>
          <w:tcPr>
            <w:tcW w:w="1110" w:type="dxa"/>
            <w:vAlign w:val="center"/>
          </w:tcPr>
          <w:p w14:paraId="36A36395">
            <w:pPr>
              <w:widowControl/>
              <w:jc w:val="center"/>
              <w:rPr>
                <w:rFonts w:hint="eastAsia" w:ascii="黑体" w:hAnsi="黑体" w:eastAsia="黑体"/>
                <w:bCs/>
                <w:sz w:val="18"/>
                <w:szCs w:val="18"/>
              </w:rPr>
            </w:pPr>
            <w:r>
              <w:rPr>
                <w:rFonts w:hint="eastAsia" w:ascii="黑体" w:hAnsi="黑体" w:eastAsia="黑体"/>
                <w:bCs/>
                <w:sz w:val="18"/>
                <w:szCs w:val="18"/>
              </w:rPr>
              <w:t>8</w:t>
            </w:r>
          </w:p>
        </w:tc>
        <w:tc>
          <w:tcPr>
            <w:tcW w:w="2118" w:type="dxa"/>
            <w:vAlign w:val="center"/>
          </w:tcPr>
          <w:p w14:paraId="35302CE9">
            <w:pPr>
              <w:widowControl/>
              <w:jc w:val="center"/>
              <w:rPr>
                <w:rFonts w:hint="eastAsia" w:ascii="黑体" w:hAnsi="黑体" w:eastAsia="黑体"/>
                <w:bCs/>
                <w:sz w:val="18"/>
                <w:szCs w:val="18"/>
              </w:rPr>
            </w:pPr>
            <w:r>
              <w:rPr>
                <w:rFonts w:hint="eastAsia" w:ascii="黑体" w:hAnsi="黑体" w:eastAsia="黑体"/>
                <w:bCs/>
                <w:sz w:val="18"/>
                <w:szCs w:val="18"/>
              </w:rPr>
              <w:t>金融计算机语言(Financial Computer Programming Language)</w:t>
            </w:r>
          </w:p>
        </w:tc>
        <w:tc>
          <w:tcPr>
            <w:tcW w:w="5922" w:type="dxa"/>
            <w:tcBorders>
              <w:top w:val="single" w:color="auto" w:sz="4" w:space="0"/>
              <w:bottom w:val="single" w:color="auto" w:sz="4" w:space="0"/>
            </w:tcBorders>
            <w:vAlign w:val="center"/>
          </w:tcPr>
          <w:p w14:paraId="1437C20F">
            <w:pPr>
              <w:widowControl/>
              <w:jc w:val="left"/>
              <w:rPr>
                <w:rFonts w:hint="eastAsia" w:ascii="仿宋" w:hAnsi="仿宋" w:eastAsia="仿宋"/>
                <w:bCs/>
                <w:sz w:val="21"/>
                <w:szCs w:val="21"/>
              </w:rPr>
            </w:pPr>
            <w:r>
              <w:rPr>
                <w:rFonts w:hint="eastAsia" w:ascii="仿宋" w:hAnsi="仿宋" w:eastAsia="仿宋"/>
                <w:bCs/>
                <w:sz w:val="21"/>
                <w:szCs w:val="21"/>
              </w:rPr>
              <w:t>本课程是通过讲授 Python 语言在金融专业领域的典型应用，培养学生交叉学科背景与复合应用能力；通过启发式案例教学和实验 (上机) 任务，引导学生熟悉 Python 在多个不同领域的实际应用，能够使用 Python 来解决科研、工作、学习中遇到的实际问题。学生在学完本课程后，能够熟悉 Python 语言的基本概念和主要语法，能够借助 Python 编程将自己的传统工作流程自动化，能够具备较强的金融投资业务实践能力。本科还为学生介绍数据结构、算法编程技巧等趣味横生的知识，让学生全面系统地了解新一代信息科学技术驱动下的技术知识。</w:t>
            </w:r>
          </w:p>
        </w:tc>
      </w:tr>
    </w:tbl>
    <w:p w14:paraId="25CFB0DB"/>
    <w:sectPr>
      <w:pgSz w:w="11906" w:h="16838"/>
      <w:pgMar w:top="1134" w:right="1418" w:bottom="1134" w:left="1418" w:header="851" w:footer="454"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B3A5F4F0-F99C-4977-B1E0-93DA50999E2A}"/>
  </w:font>
  <w:font w:name="宋体">
    <w:panose1 w:val="02010600030101010101"/>
    <w:charset w:val="86"/>
    <w:family w:val="auto"/>
    <w:pitch w:val="default"/>
    <w:sig w:usb0="00000203" w:usb1="288F0000" w:usb2="00000006" w:usb3="00000000" w:csb0="00040001" w:csb1="00000000"/>
    <w:embedRegular r:id="rId2" w:fontKey="{7753C3D5-1A15-484C-8906-543869606360}"/>
  </w:font>
  <w:font w:name="Wingdings">
    <w:panose1 w:val="05000000000000000000"/>
    <w:charset w:val="02"/>
    <w:family w:val="auto"/>
    <w:pitch w:val="default"/>
    <w:sig w:usb0="00000000" w:usb1="00000000" w:usb2="00000000" w:usb3="00000000" w:csb0="80000000" w:csb1="00000000"/>
    <w:embedRegular r:id="rId3" w:fontKey="{6A9F287E-24CE-463F-B3B9-C61A974A1377}"/>
  </w:font>
  <w:font w:name="Arial">
    <w:panose1 w:val="020B0604020202020204"/>
    <w:charset w:val="01"/>
    <w:family w:val="swiss"/>
    <w:pitch w:val="default"/>
    <w:sig w:usb0="E0002EFF" w:usb1="C000785B" w:usb2="00000009" w:usb3="00000000" w:csb0="400001FF" w:csb1="FFFF0000"/>
    <w:embedRegular r:id="rId4" w:fontKey="{420C167E-9BAD-410B-82B3-42401B174561}"/>
  </w:font>
  <w:font w:name="黑体">
    <w:panose1 w:val="02010609060101010101"/>
    <w:charset w:val="86"/>
    <w:family w:val="auto"/>
    <w:pitch w:val="default"/>
    <w:sig w:usb0="800002BF" w:usb1="38CF7CFA" w:usb2="00000016" w:usb3="00000000" w:csb0="00040001" w:csb1="00000000"/>
    <w:embedRegular r:id="rId5" w:fontKey="{737773E1-7D3C-4B12-B887-FCA8FA35B09B}"/>
  </w:font>
  <w:font w:name="Courier New">
    <w:panose1 w:val="02070309020205020404"/>
    <w:charset w:val="01"/>
    <w:family w:val="modern"/>
    <w:pitch w:val="default"/>
    <w:sig w:usb0="E0002EFF" w:usb1="C0007843" w:usb2="00000009" w:usb3="00000000" w:csb0="400001FF" w:csb1="FFFF0000"/>
    <w:embedRegular r:id="rId6" w:fontKey="{9476846F-E235-4A69-8F69-52326AE841A8}"/>
  </w:font>
  <w:font w:name="Symbol">
    <w:panose1 w:val="05050102010706020507"/>
    <w:charset w:val="02"/>
    <w:family w:val="roman"/>
    <w:pitch w:val="default"/>
    <w:sig w:usb0="00000000" w:usb1="00000000" w:usb2="00000000" w:usb3="00000000" w:csb0="80000000" w:csb1="00000000"/>
    <w:embedRegular r:id="rId7" w:fontKey="{EDB29DFC-DDA4-4898-8D5C-B0DF2800A809}"/>
  </w:font>
  <w:font w:name="Calibri">
    <w:panose1 w:val="020F0502020204030204"/>
    <w:charset w:val="00"/>
    <w:family w:val="swiss"/>
    <w:pitch w:val="default"/>
    <w:sig w:usb0="E4002EFF" w:usb1="C200247B" w:usb2="00000009" w:usb3="00000000" w:csb0="200001FF" w:csb1="00000000"/>
    <w:embedRegular r:id="rId8" w:fontKey="{7CB9AACF-3A67-436A-B17C-AA387AF6F468}"/>
  </w:font>
  <w:font w:name="Arial">
    <w:panose1 w:val="020B0604020202020204"/>
    <w:charset w:val="00"/>
    <w:family w:val="swiss"/>
    <w:pitch w:val="default"/>
    <w:sig w:usb0="E0002EFF" w:usb1="C000785B" w:usb2="00000009" w:usb3="00000000" w:csb0="400001FF" w:csb1="FFFF0000"/>
    <w:embedRegular r:id="rId9" w:fontKey="{36ADFA1B-9AE1-4B85-8392-09A2EFFB9940}"/>
  </w:font>
  <w:font w:name="方正小标宋简体">
    <w:panose1 w:val="02000000000000000000"/>
    <w:charset w:val="86"/>
    <w:family w:val="auto"/>
    <w:pitch w:val="default"/>
    <w:sig w:usb0="00000001" w:usb1="08000000" w:usb2="00000000" w:usb3="00000000" w:csb0="00040000" w:csb1="00000000"/>
    <w:embedRegular r:id="rId10" w:fontKey="{EDA476F2-B8E4-4903-A853-888592C6D44B}"/>
  </w:font>
  <w:font w:name="仿宋">
    <w:panose1 w:val="02010609060101010101"/>
    <w:charset w:val="86"/>
    <w:family w:val="modern"/>
    <w:pitch w:val="default"/>
    <w:sig w:usb0="800002BF" w:usb1="38CF7CFA" w:usb2="00000016" w:usb3="00000000" w:csb0="00040001" w:csb1="00000000"/>
    <w:embedRegular r:id="rId11" w:fontKey="{A45496F8-00B1-49CB-B200-FEF1F54B8496}"/>
  </w:font>
  <w:font w:name="微软雅黑">
    <w:panose1 w:val="020B0503020204020204"/>
    <w:charset w:val="86"/>
    <w:family w:val="swiss"/>
    <w:pitch w:val="default"/>
    <w:sig w:usb0="80000287" w:usb1="2ACF3C50" w:usb2="00000016" w:usb3="00000000" w:csb0="0004001F" w:csb1="00000000"/>
    <w:embedRegular r:id="rId12" w:fontKey="{A83D05E6-0ED8-4D9E-A9D2-998169D346CD}"/>
  </w:font>
  <w:font w:name="仿宋_GB2312">
    <w:altName w:val="仿宋"/>
    <w:panose1 w:val="00000000000000000000"/>
    <w:charset w:val="86"/>
    <w:family w:val="modern"/>
    <w:pitch w:val="default"/>
    <w:sig w:usb0="00000000" w:usb1="00000000" w:usb2="00000000" w:usb3="00000000" w:csb0="00040000" w:csb1="00000000"/>
    <w:embedRegular r:id="rId13" w:fontKey="{D09A1D00-9DEA-4F9A-A92A-DBB7F24A8C70}"/>
  </w:font>
  <w:font w:name="Cambria Math">
    <w:panose1 w:val="02040503050406030204"/>
    <w:charset w:val="00"/>
    <w:family w:val="roman"/>
    <w:pitch w:val="default"/>
    <w:sig w:usb0="E00006FF" w:usb1="420024FF" w:usb2="02000000" w:usb3="00000000" w:csb0="2000019F" w:csb1="00000000"/>
    <w:embedRegular r:id="rId14" w:fontKey="{7DB55A34-013D-4661-B225-BB1B71E4B38B}"/>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EF6538"/>
    <w:multiLevelType w:val="singleLevel"/>
    <w:tmpl w:val="1FEF6538"/>
    <w:lvl w:ilvl="0" w:tentative="0">
      <w:start w:val="5"/>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JkYzY4YWIxOWFiYWI4ZGRkYzgzOGFhM2Y3YmM1MDcifQ=="/>
  </w:docVars>
  <w:rsids>
    <w:rsidRoot w:val="0AE32D0C"/>
    <w:rsid w:val="0002358B"/>
    <w:rsid w:val="000703B8"/>
    <w:rsid w:val="001012E3"/>
    <w:rsid w:val="001D099D"/>
    <w:rsid w:val="002B7846"/>
    <w:rsid w:val="002D1061"/>
    <w:rsid w:val="00333C9F"/>
    <w:rsid w:val="00372B3A"/>
    <w:rsid w:val="00372B72"/>
    <w:rsid w:val="003D0039"/>
    <w:rsid w:val="00481031"/>
    <w:rsid w:val="004B5A3E"/>
    <w:rsid w:val="00877685"/>
    <w:rsid w:val="00937237"/>
    <w:rsid w:val="00B57BAE"/>
    <w:rsid w:val="00BA7FE9"/>
    <w:rsid w:val="00BB06FE"/>
    <w:rsid w:val="00CB1EEE"/>
    <w:rsid w:val="00D262A6"/>
    <w:rsid w:val="00D3261D"/>
    <w:rsid w:val="00D529C8"/>
    <w:rsid w:val="00D62D1F"/>
    <w:rsid w:val="00DB1C4F"/>
    <w:rsid w:val="00ED3823"/>
    <w:rsid w:val="00F16F11"/>
    <w:rsid w:val="00FF4893"/>
    <w:rsid w:val="0AE32D0C"/>
    <w:rsid w:val="175A6EDF"/>
    <w:rsid w:val="1BB05AD7"/>
    <w:rsid w:val="1EEF22CE"/>
    <w:rsid w:val="1F7A2683"/>
    <w:rsid w:val="21032A4B"/>
    <w:rsid w:val="21BF3E1B"/>
    <w:rsid w:val="23A75A11"/>
    <w:rsid w:val="29B41E5E"/>
    <w:rsid w:val="4AF018C8"/>
    <w:rsid w:val="50C32C89"/>
    <w:rsid w:val="524C7DF9"/>
    <w:rsid w:val="544467E1"/>
    <w:rsid w:val="550F5041"/>
    <w:rsid w:val="5DDD5695"/>
    <w:rsid w:val="64873285"/>
    <w:rsid w:val="6DEEED60"/>
    <w:rsid w:val="7AFF6562"/>
    <w:rsid w:val="7F274B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ody Text Indent 2"/>
    <w:basedOn w:val="1"/>
    <w:link w:val="9"/>
    <w:qFormat/>
    <w:uiPriority w:val="0"/>
    <w:pPr>
      <w:spacing w:line="360" w:lineRule="auto"/>
      <w:ind w:firstLine="480" w:firstLineChars="200"/>
    </w:pPr>
    <w:rPr>
      <w:rFonts w:ascii="Arial" w:hAnsi="宋体" w:cs="Arial"/>
      <w:kern w:val="2"/>
      <w:sz w:val="24"/>
      <w:szCs w:val="21"/>
    </w:rPr>
  </w:style>
  <w:style w:type="paragraph" w:styleId="3">
    <w:name w:val="footer"/>
    <w:basedOn w:val="1"/>
    <w:link w:val="8"/>
    <w:uiPriority w:val="0"/>
    <w:pPr>
      <w:tabs>
        <w:tab w:val="center" w:pos="4153"/>
        <w:tab w:val="right" w:pos="8306"/>
      </w:tabs>
      <w:snapToGrid w:val="0"/>
      <w:jc w:val="left"/>
    </w:pPr>
    <w:rPr>
      <w:sz w:val="18"/>
      <w:szCs w:val="18"/>
    </w:rPr>
  </w:style>
  <w:style w:type="paragraph" w:styleId="4">
    <w:name w:val="header"/>
    <w:basedOn w:val="1"/>
    <w:link w:val="7"/>
    <w:uiPriority w:val="0"/>
    <w:pPr>
      <w:tabs>
        <w:tab w:val="center" w:pos="4153"/>
        <w:tab w:val="right" w:pos="8306"/>
      </w:tabs>
      <w:snapToGrid w:val="0"/>
      <w:jc w:val="center"/>
    </w:pPr>
    <w:rPr>
      <w:sz w:val="18"/>
      <w:szCs w:val="18"/>
    </w:rPr>
  </w:style>
  <w:style w:type="character" w:customStyle="1" w:styleId="7">
    <w:name w:val="页眉 字符"/>
    <w:basedOn w:val="6"/>
    <w:link w:val="4"/>
    <w:uiPriority w:val="0"/>
    <w:rPr>
      <w:rFonts w:ascii="Times New Roman" w:hAnsi="Times New Roman" w:eastAsia="宋体" w:cs="Times New Roman"/>
      <w:sz w:val="18"/>
      <w:szCs w:val="18"/>
    </w:rPr>
  </w:style>
  <w:style w:type="character" w:customStyle="1" w:styleId="8">
    <w:name w:val="页脚 字符"/>
    <w:basedOn w:val="6"/>
    <w:link w:val="3"/>
    <w:uiPriority w:val="0"/>
    <w:rPr>
      <w:rFonts w:ascii="Times New Roman" w:hAnsi="Times New Roman" w:eastAsia="宋体" w:cs="Times New Roman"/>
      <w:sz w:val="18"/>
      <w:szCs w:val="18"/>
    </w:rPr>
  </w:style>
  <w:style w:type="character" w:customStyle="1" w:styleId="9">
    <w:name w:val="正文文本缩进 2 字符"/>
    <w:basedOn w:val="6"/>
    <w:link w:val="2"/>
    <w:qFormat/>
    <w:uiPriority w:val="0"/>
    <w:rPr>
      <w:rFonts w:ascii="Arial" w:hAnsi="宋体" w:cs="Arial"/>
      <w:kern w:val="2"/>
      <w:sz w:val="24"/>
      <w:szCs w:val="21"/>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3415</Words>
  <Characters>3914</Characters>
  <Lines>29</Lines>
  <Paragraphs>8</Paragraphs>
  <TotalTime>36</TotalTime>
  <ScaleCrop>false</ScaleCrop>
  <LinksUpToDate>false</LinksUpToDate>
  <CharactersWithSpaces>3961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2023-05-06T11:14:00Z</dcterms:created>
  <dc:creator>Shine_ZHOU</dc:creator>
  <cp:lastModifiedBy>王婧</cp:lastModifiedBy>
  <dcterms:modified xsi:type="dcterms:W3CDTF">2025-06-16T05:42:20Z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8CE331D233004D64BD00CEF8507FE90E_13</vt:lpwstr>
  </property>
</Properties>
</file>