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F8D70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金融工程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721DC20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（专业代码：020302）</w:t>
      </w:r>
    </w:p>
    <w:p w14:paraId="79069AA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0D68E4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金融工程专业自2010年招生，2020年入选国家级一流本科专业建设点，依托数理金融与风险管理学科优势，培养复合型金融人才。师资队伍实力雄厚，现有教师13人，其中国家级人才计划入选者、长江学者特聘教授1人，北京市青年骨干人才2人，70%教师具有海外访学经历或CFA/FRM等国际资格，近三年在《经济研究》《管理世界》等权威期刊发表高水平论文数十篇，承担国家级及省部级课题多项。在软科2024年中国大学专业排名中，金融工程专业获评A级，位列北京市属高校首位。</w:t>
      </w:r>
    </w:p>
    <w:p w14:paraId="0BFF7EF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课程体系深度融合金融理论与量化方法，开设《金融工程学》《金融衍生工具》等双语及线上线下精品课程。培养特色以“专业课程+学科竞赛+国际交流+双创实践”四位一体机制为核心，学生获全国大学生数学建模竞赛、美国大学生数学建模竞赛等国家级奖项30余项，创新创业项目多次入选国家级、省部级计划。近三年毕业生深造率居学院前列，多人保送至北京大学、复旦大学等高校，以及赴哥伦比亚大学、伦敦大学学院等世界百强院校深造，就业率连续五年超99%，主要任职于商业银行、证券公司及外资机构的风险管理、资产定价等部门。</w:t>
      </w:r>
    </w:p>
    <w:p w14:paraId="63B573B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依托北京金融区位优势，学生班级获评全国高校共青团优秀团支部、北京市先进班集体等荣誉，社会认可度显著。未来将深化量化金融与金融创新方向，强化与行业头部机构合作，培养具有国际视野、创新能力和实践能力的复合型金融人才。</w:t>
      </w:r>
    </w:p>
    <w:p w14:paraId="4325D621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424624A3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目标1：家国情怀与专业使命</w:t>
      </w:r>
    </w:p>
    <w:p w14:paraId="17F8557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培养践行社会主义核心价值观，立足国家金融安全与改革战略需求，具备服务区域经济高质量发展使命感的专业人才。毕业生能够在金融机构、监管部门等岗位中运用专业能力推动金融创新与风险管理，助力防范系统性金融风险。</w:t>
      </w:r>
    </w:p>
    <w:p w14:paraId="2CF2637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目标2：量化分析与产品设计能力</w:t>
      </w:r>
    </w:p>
    <w:p w14:paraId="69DE5B1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数理金融基础与编程技术，精通金融工程模型构建及金融工具开发，能够独立设计衍生品定价方案、优化资产配置策略，具备CFA/FRM等国际资格认证竞争力。毕业生可在投行、基金、风险管理机构从事量化分析、金融产品创新等核心工作，</w:t>
      </w:r>
      <w:r>
        <w:rPr>
          <w:rFonts w:hint="eastAsia" w:eastAsiaTheme="minorEastAsia"/>
          <w:sz w:val="24"/>
        </w:rPr>
        <w:t>具备成长为业务骨干的潜力。</w:t>
      </w:r>
    </w:p>
    <w:p w14:paraId="125873A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目标3：风险管理与金融实务能力</w:t>
      </w:r>
    </w:p>
    <w:p w14:paraId="665A2E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熟练运用大数据与计量方法进行风险评估及决策支持，具备跨市场风险识别、压力测试与对冲策略设计能力。毕业生可在商业银行、证券公司等机构担任风险管理、资产定价等岗位</w:t>
      </w:r>
      <w:r>
        <w:rPr>
          <w:rFonts w:hint="eastAsia" w:eastAsiaTheme="minorEastAsia"/>
          <w:sz w:val="24"/>
        </w:rPr>
        <w:t>，具备向中高层管理或行业专家方向发展的潜力。</w:t>
      </w:r>
      <w:r>
        <w:rPr>
          <w:rFonts w:eastAsiaTheme="minorEastAsia"/>
          <w:sz w:val="24"/>
        </w:rPr>
        <w:t>。</w:t>
      </w:r>
    </w:p>
    <w:p w14:paraId="2CB4EEF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目标4：国际视野与创新实践</w:t>
      </w:r>
    </w:p>
    <w:p w14:paraId="3441010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依托北京金融区位优势及国际合作资源，熟悉国际金融市场规则与前沿技术，具备跨文化沟通能力。毕业生可在外资金融机构、国际投行等参与</w:t>
      </w:r>
      <w:r>
        <w:rPr>
          <w:rFonts w:hint="eastAsia" w:eastAsiaTheme="minorEastAsia"/>
          <w:sz w:val="24"/>
        </w:rPr>
        <w:t>跨境业务相关的工作</w:t>
      </w:r>
      <w:r>
        <w:rPr>
          <w:rFonts w:eastAsiaTheme="minorEastAsia"/>
          <w:sz w:val="24"/>
        </w:rPr>
        <w:t>，或赴海外深造后成为兼具本土经验与全球视野的复合型人才。</w:t>
      </w:r>
    </w:p>
    <w:p w14:paraId="3CD14E52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目标5：终身学习与跨界融合</w:t>
      </w:r>
    </w:p>
    <w:p w14:paraId="44B6856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通过学科竞赛、双创项目及行业实践强化自主学习与跨界整合能力，适应金融科技与绿色金融等新兴领域需求。</w:t>
      </w:r>
      <w:r>
        <w:rPr>
          <w:rFonts w:hint="eastAsia" w:eastAsiaTheme="minorEastAsia"/>
          <w:sz w:val="24"/>
        </w:rPr>
        <w:t>毕业生在职业发展中能够持续更新知识体系，逐步从技术执行者向更具战略视野的角色过渡，在金融创新中发挥积极作用。</w:t>
      </w:r>
    </w:p>
    <w:p w14:paraId="3C9FC0A3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7ADFF56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1．知识要求</w:t>
      </w:r>
    </w:p>
    <w:p w14:paraId="49296314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1.1 政治理论与人文素养</w:t>
      </w:r>
    </w:p>
    <w:p w14:paraId="53CAD22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掌握马克思主义基本原理、习近平新时代中国特色社会主义思想，理解国家金融政策与经济发展战略，具备人文社科基础知识和辩证思维能力。</w:t>
      </w:r>
    </w:p>
    <w:p w14:paraId="26EC09F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1.2 学科基础与专业核心</w:t>
      </w:r>
    </w:p>
    <w:p w14:paraId="48480C1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系统掌握经济学、金融学、数学及统计学基础理论，精通金融工程核心知识，包括金融衍生工具定价、风险管理模型、资产配置理论与量化投资方法。</w:t>
      </w:r>
    </w:p>
    <w:p w14:paraId="0F05D99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1.3 工具与方法论</w:t>
      </w:r>
    </w:p>
    <w:p w14:paraId="6E79C8B3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sz w:val="24"/>
        </w:rPr>
        <w:t>熟悉Python、MATLAB等编程语言及金融数据库（Wind、Bloomberg）操作，掌握计量经济学、时间序列分析等实证研究方法，能运用金融软件进行建模与仿真。</w:t>
      </w:r>
    </w:p>
    <w:p w14:paraId="51158079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1.4 国际视野与前沿动态</w:t>
      </w:r>
    </w:p>
    <w:p w14:paraId="40EE8F2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了解国际金融市场规则、金融工程前沿技术（如智能投顾、复杂衍生品设计）及绿色金融等新兴领域发展趋势。</w:t>
      </w:r>
    </w:p>
    <w:p w14:paraId="1AF5B16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5EA413D6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2.1 量化分析与技术应用能力</w:t>
      </w:r>
    </w:p>
    <w:p w14:paraId="5799DAE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能够独立构建金融工程模型，完成金融产品定价、风险测度及对冲策略设计，具备通过CFA/FRM等国际认证考试的实践能力。</w:t>
      </w:r>
    </w:p>
    <w:p w14:paraId="446F8172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2.2 数据处理与编程能力</w:t>
      </w:r>
    </w:p>
    <w:p w14:paraId="04C5CEB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熟练运用Python、R等工具进行金融数据清洗、分析与可视化，能够开发量化交易策略或风险预警系统原型。</w:t>
      </w:r>
    </w:p>
    <w:p w14:paraId="3398870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2.3 学术研究与创新实践能力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具备独立撰写实证研究报告的能力，曾参与学科竞赛（如全国数学建模竞赛）或创新创业项目，并在团队中承担核心角色。</w:t>
      </w:r>
    </w:p>
    <w:p w14:paraId="7D808F4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2.4 跨领域协作与沟通能力</w:t>
      </w:r>
    </w:p>
    <w:p w14:paraId="4806579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能通过书面报告、学术演讲等形式清晰表达专业观点，具备与计算机、法律等跨领域团队协作解决复杂金融问题的经验。</w:t>
      </w:r>
    </w:p>
    <w:p w14:paraId="3659FA04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2.5 自主学习与职业发展能力</w:t>
      </w:r>
    </w:p>
    <w:p w14:paraId="34D948F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能够通过文献阅读、行业实践持续更新知识体系，制定清晰的职业规划，适应金融行业技术迭代与岗位需求变化。</w:t>
      </w:r>
    </w:p>
    <w:p w14:paraId="0ED0F996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02039868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 xml:space="preserve">1 </w:t>
      </w:r>
      <w:r>
        <w:rPr>
          <w:rFonts w:eastAsiaTheme="minorEastAsia"/>
          <w:b/>
          <w:bCs/>
          <w:sz w:val="24"/>
        </w:rPr>
        <w:t>社会责任与职业精神</w:t>
      </w:r>
    </w:p>
    <w:p w14:paraId="5EFA88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具备服务国家金融安全战略的使命感，在风险管理、金融创新等工作中坚持审慎合规原则，维护金融市场稳定。</w:t>
      </w:r>
    </w:p>
    <w:p w14:paraId="4C404703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 xml:space="preserve">2 </w:t>
      </w:r>
      <w:r>
        <w:rPr>
          <w:rFonts w:eastAsiaTheme="minorEastAsia"/>
          <w:b/>
          <w:bCs/>
          <w:sz w:val="24"/>
        </w:rPr>
        <w:t>科学精神与创新意识</w:t>
      </w:r>
    </w:p>
    <w:p w14:paraId="58F114D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遵循严谨的量化分析逻辑，敢于探索金融工程领域新技术、新方法，在学术或实践中提出创新性解决方案。</w:t>
      </w:r>
    </w:p>
    <w:p w14:paraId="33B9FC70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 xml:space="preserve"> </w:t>
      </w:r>
      <w:bookmarkStart w:id="2" w:name="_GoBack"/>
      <w:bookmarkStart w:id="0" w:name="OLE_LINK2"/>
      <w:bookmarkStart w:id="1" w:name="OLE_LINK1"/>
      <w:r>
        <w:rPr>
          <w:rFonts w:eastAsiaTheme="minorEastAsia"/>
          <w:b/>
          <w:bCs/>
          <w:sz w:val="24"/>
        </w:rPr>
        <w:t>身心健康与团队协作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通过体育课程及实践活动保持强健体魄，具备抗压能力与团队领导力，能够在高强度金融工作中保持高效协作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eastAsiaTheme="minorEastAsia"/>
          <w:sz w:val="24"/>
        </w:rPr>
        <w:t>。</w:t>
      </w:r>
      <w:bookmarkEnd w:id="2"/>
      <w:bookmarkEnd w:id="0"/>
    </w:p>
    <w:bookmarkEnd w:id="1"/>
    <w:p w14:paraId="0116173A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>4</w:t>
      </w:r>
      <w:r>
        <w:rPr>
          <w:rFonts w:eastAsiaTheme="minorEastAsia"/>
          <w:b/>
          <w:bCs/>
          <w:sz w:val="24"/>
        </w:rPr>
        <w:t xml:space="preserve"> 国际视野与文化包容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尊重多元文化，熟悉国际商务礼仪，能够在外资机构或跨境业务中有效沟通，展现中国金融人才的专业素养。</w:t>
      </w:r>
    </w:p>
    <w:p w14:paraId="4785CAE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2C71BD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经济学——应用经济学——金融学</w:t>
      </w:r>
    </w:p>
    <w:p w14:paraId="5B8538A4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微观经济学、金融学、投资学、公司金融、金融衍生工具、固定收益证券等</w:t>
      </w:r>
    </w:p>
    <w:p w14:paraId="20DAC48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03B1ED19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="黑体"/>
          <w:sz w:val="28"/>
          <w:szCs w:val="28"/>
        </w:rPr>
      </w:pPr>
      <w:r>
        <w:rPr>
          <w:rFonts w:hint="eastAsia" w:eastAsiaTheme="minor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452120</wp:posOffset>
            </wp:positionH>
            <wp:positionV relativeFrom="page">
              <wp:posOffset>1951990</wp:posOffset>
            </wp:positionV>
            <wp:extent cx="4986020" cy="3924300"/>
            <wp:effectExtent l="0" t="0" r="5080" b="0"/>
            <wp:wrapTopAndBottom/>
            <wp:docPr id="2" name="图片 2" descr="1741410284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14102843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602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E19632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784BEC4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13B36F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65CE2A4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2648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1D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8B2F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BF5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483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3DA9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818D2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51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682C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8E283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3AFF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8E540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BD2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1A2E46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6E1A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6D4D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7C697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693E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C5F6F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A1267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35D69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D6DB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8A11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A1CB3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FBAAD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≥</w:t>
            </w:r>
            <w:r>
              <w:rPr>
                <w:rFonts w:hint="eastAsia" w:eastAsiaTheme="minorEastAsia"/>
                <w:sz w:val="24"/>
              </w:rPr>
              <w:t>26</w:t>
            </w:r>
          </w:p>
        </w:tc>
      </w:tr>
      <w:tr w14:paraId="7D664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DC05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78B70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2D216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17CB3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0B716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ECBAE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4252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F071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ECE53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E140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142</w:t>
            </w:r>
          </w:p>
        </w:tc>
      </w:tr>
    </w:tbl>
    <w:p w14:paraId="677A02CC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ECA2B1E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3CE5040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38D84A20">
      <w:pPr>
        <w:pStyle w:val="36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5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243CF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CA06F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1DC1B8C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44199384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10520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1F4E308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142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AB69A4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A4A4123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115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DB181E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D2535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09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8D4F0B4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6C22DBAA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6.8</w:t>
            </w:r>
          </w:p>
        </w:tc>
      </w:tr>
      <w:tr w14:paraId="1F556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57F3F14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A3B86E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E74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0EDE88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1FD8611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60CEE8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79286FC9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3.2</w:t>
            </w:r>
          </w:p>
        </w:tc>
      </w:tr>
      <w:tr w14:paraId="01BEC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A511A5F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46D7D57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76E2960">
            <w:pPr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8363F9C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43327B4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986EAA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7E5B0DC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0E4185D5">
      <w:pPr>
        <w:pStyle w:val="13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02B80690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7A004A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68E08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08835BF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326D03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1B35CC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68D185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8283D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3ADDD0E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6AA4BD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696" w:type="dxa"/>
          </w:tcPr>
          <w:p w14:paraId="4D0235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52</w:t>
            </w:r>
          </w:p>
        </w:tc>
      </w:tr>
      <w:tr w14:paraId="673CCB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48EE5D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7B94F88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1D0F20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686AE0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 w14:paraId="4F5659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225E0F27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0D780F3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51EC15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696" w:type="dxa"/>
          </w:tcPr>
          <w:p w14:paraId="68EFB7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</w:tr>
      <w:tr w14:paraId="2FF243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3EB982F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6DE1A2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413D87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86544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</w:tr>
      <w:tr w14:paraId="6A0AC4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C0AFC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4C75D2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5F10B20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1E8B88C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115</w:t>
            </w:r>
          </w:p>
        </w:tc>
      </w:tr>
    </w:tbl>
    <w:p w14:paraId="3A23775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7DA72DA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1EA656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119078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6E7BFAB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54EC1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59654F7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1F55E3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6E3E53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68043E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5E2C5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67B82A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F635FF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D0E632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BFE064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0B431C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28A14F1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97A99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65A5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090DB7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504088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56C909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D0A51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F62581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DB6E4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F21C1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D0753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374BC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FD50B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B2A50A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1643A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D19D7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569F14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0781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39BABE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4C29E4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E3872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4CF08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FE115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9154EF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7182710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43809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5BAD9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85BE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6F600C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68812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D3BAF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6EFD1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7D381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32438D1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FE5D02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036ED8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465EE5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C3EE8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6470C1E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社会实践</w:t>
            </w:r>
          </w:p>
        </w:tc>
        <w:tc>
          <w:tcPr>
            <w:tcW w:w="1413" w:type="dxa"/>
          </w:tcPr>
          <w:p w14:paraId="54CAEC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7D30B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CC56A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18BCB2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FDEAD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A27191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8FB53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1CAA8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C8D4D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3E1C1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36C8005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31C306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BAC89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6B15F5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DA4AF2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01E05D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77E84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8244D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163E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17A3A3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5917F1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68930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37912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3BEF33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F8516D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3FC90C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1EE788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933F2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6D4BC8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A51CC5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5F1896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4D4B9F8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25</w:t>
            </w:r>
          </w:p>
        </w:tc>
      </w:tr>
      <w:tr w14:paraId="79E89C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8F5BC5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647661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0C237BD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85181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</w:tr>
      <w:tr w14:paraId="5C4A97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CE34C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0CB205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6BA47B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20118C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</w:tr>
      <w:tr w14:paraId="27F002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AD85D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F5173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7888B8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0181B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25</w:t>
            </w:r>
          </w:p>
        </w:tc>
      </w:tr>
      <w:tr w14:paraId="472787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3D9375F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5D2081D4">
            <w:pPr>
              <w:rPr>
                <w:rFonts w:ascii="Calibri" w:hAnsi="Calibri"/>
                <w:szCs w:val="22"/>
              </w:rPr>
            </w:pPr>
          </w:p>
          <w:p w14:paraId="432195B4">
            <w:pPr>
              <w:jc w:val="center"/>
            </w:pPr>
            <w:r>
              <w:rPr>
                <w:rFonts w:hint="eastAsia"/>
              </w:rPr>
              <w:t>专业实验类</w:t>
            </w:r>
          </w:p>
        </w:tc>
        <w:tc>
          <w:tcPr>
            <w:tcW w:w="3027" w:type="dxa"/>
          </w:tcPr>
          <w:p w14:paraId="7A7905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金融计算机语言（双语）</w:t>
            </w:r>
          </w:p>
        </w:tc>
        <w:tc>
          <w:tcPr>
            <w:tcW w:w="1413" w:type="dxa"/>
          </w:tcPr>
          <w:p w14:paraId="0FD92F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19F0D4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A0AE6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877141">
            <w:pPr>
              <w:jc w:val="center"/>
            </w:pPr>
          </w:p>
        </w:tc>
        <w:tc>
          <w:tcPr>
            <w:tcW w:w="3027" w:type="dxa"/>
          </w:tcPr>
          <w:p w14:paraId="3110A65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金融风险管理</w:t>
            </w:r>
          </w:p>
        </w:tc>
        <w:tc>
          <w:tcPr>
            <w:tcW w:w="1413" w:type="dxa"/>
          </w:tcPr>
          <w:p w14:paraId="66C9A4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0BBA7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DAA82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F4A45A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5DED0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金融计量学</w:t>
            </w:r>
          </w:p>
        </w:tc>
        <w:tc>
          <w:tcPr>
            <w:tcW w:w="1413" w:type="dxa"/>
          </w:tcPr>
          <w:p w14:paraId="615C1B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5955A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EA46E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156793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D748BA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金融建模</w:t>
            </w:r>
          </w:p>
        </w:tc>
        <w:tc>
          <w:tcPr>
            <w:tcW w:w="1413" w:type="dxa"/>
          </w:tcPr>
          <w:p w14:paraId="6B1E04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79AF8C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93BDC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8D4E1C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96BC47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64C30CF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251FBF3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FE60D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4F6BB99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27" w:type="dxa"/>
          </w:tcPr>
          <w:p w14:paraId="292A957F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数字货币学（双语）</w:t>
            </w:r>
          </w:p>
        </w:tc>
        <w:tc>
          <w:tcPr>
            <w:tcW w:w="1413" w:type="dxa"/>
          </w:tcPr>
          <w:p w14:paraId="218F3F22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A8BAF3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ADBA8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6524C3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4E7DC27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499A989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3.5</w:t>
            </w:r>
          </w:p>
        </w:tc>
      </w:tr>
    </w:tbl>
    <w:p w14:paraId="67E69350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F01E6">
    <w:pPr>
      <w:pStyle w:val="9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45688D33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73958">
    <w:pPr>
      <w:pStyle w:val="9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3FB2D1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9467D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7C4BA">
    <w:pPr>
      <w:pStyle w:val="1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kYzY4YWIxOWFiYWI4ZGRkYzgzOGFhM2Y3YmM1MDc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1B13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30FA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21D5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21AB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00EA"/>
    <w:rsid w:val="004F06ED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285F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2A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53DE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0F3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67FA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324C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9728F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583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31C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0A99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1FF5"/>
    <w:rsid w:val="00BF3359"/>
    <w:rsid w:val="00BF4E7D"/>
    <w:rsid w:val="00C008BA"/>
    <w:rsid w:val="00C00D94"/>
    <w:rsid w:val="00C01A75"/>
    <w:rsid w:val="00C0325D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2E3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630F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5FE3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50C7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D7BFF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4C05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464DC"/>
    <w:rsid w:val="00F570A9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1A2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D473AC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7A31A2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DA726CC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1E5B62"/>
    <w:rsid w:val="42823479"/>
    <w:rsid w:val="42A11B51"/>
    <w:rsid w:val="42FA5706"/>
    <w:rsid w:val="430F2F5F"/>
    <w:rsid w:val="432509D4"/>
    <w:rsid w:val="432F1853"/>
    <w:rsid w:val="43515CE6"/>
    <w:rsid w:val="436332AB"/>
    <w:rsid w:val="43C57044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5E60C18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3CE7F0C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9D7703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link w:val="10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2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8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3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99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7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8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5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6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7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9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1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2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3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7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8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0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1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2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3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4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7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8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0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8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6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7">
    <w:name w:val="long_text1"/>
    <w:qFormat/>
    <w:uiPriority w:val="99"/>
    <w:rPr>
      <w:rFonts w:cs="Times New Roman"/>
      <w:sz w:val="20"/>
      <w:szCs w:val="20"/>
    </w:rPr>
  </w:style>
  <w:style w:type="character" w:customStyle="1" w:styleId="98">
    <w:name w:val="正文文本缩进 字符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9">
    <w:name w:val="脚注文本 字符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0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character" w:customStyle="1" w:styleId="101">
    <w:name w:val="标题 3 字符"/>
    <w:basedOn w:val="17"/>
    <w:link w:val="4"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2790</Words>
  <Characters>2930</Characters>
  <Lines>22</Lines>
  <Paragraphs>6</Paragraphs>
  <TotalTime>10</TotalTime>
  <ScaleCrop>false</ScaleCrop>
  <LinksUpToDate>false</LinksUpToDate>
  <CharactersWithSpaces>2943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王婧</cp:lastModifiedBy>
  <cp:lastPrinted>2024-11-20T08:55:00Z</cp:lastPrinted>
  <dcterms:modified xsi:type="dcterms:W3CDTF">2025-04-21T01:11:37Z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CFB1ECB841F14CCEB311657EC030146C</vt:lpwstr>
  </property>
  <property fmtid="{D5CDD505-2E9C-101B-9397-08002B2CF9AE}" pid="4" name="BD_Document_Page_Count">
    <vt:lpwstr>7</vt:lpwstr>
  </property>
</Properties>
</file>