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17256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会计学专业（辅修）本科人才培养方案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2025年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）</w:t>
      </w:r>
    </w:p>
    <w:p w14:paraId="3A7C13D3">
      <w:pPr>
        <w:spacing w:after="312" w:afterLines="100" w:line="360" w:lineRule="auto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 xml:space="preserve">（专业代码 </w:t>
      </w:r>
      <w:r>
        <w:rPr>
          <w:rFonts w:hAnsi="宋体"/>
          <w:b/>
          <w:sz w:val="28"/>
          <w:szCs w:val="28"/>
        </w:rPr>
        <w:t>120203K</w:t>
      </w:r>
      <w:r>
        <w:rPr>
          <w:rFonts w:hint="eastAsia" w:hAnsi="宋体"/>
          <w:b/>
          <w:sz w:val="28"/>
          <w:szCs w:val="28"/>
        </w:rPr>
        <w:t>）</w:t>
      </w:r>
    </w:p>
    <w:p w14:paraId="4511638A">
      <w:pPr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一、培养目标</w:t>
      </w:r>
    </w:p>
    <w:p w14:paraId="295628AD">
      <w:pPr>
        <w:spacing w:line="360" w:lineRule="auto"/>
        <w:ind w:firstLine="480" w:firstLineChars="200"/>
        <w:rPr>
          <w:rFonts w:hAnsiTheme="minorEastAsia" w:eastAsiaTheme="minorEastAsia"/>
          <w:sz w:val="24"/>
        </w:rPr>
      </w:pPr>
      <w:r>
        <w:rPr>
          <w:rFonts w:hint="eastAsia" w:hAnsiTheme="minorEastAsia" w:eastAsiaTheme="minorEastAsia"/>
          <w:sz w:val="24"/>
        </w:rPr>
        <w:t>会计学辅修专业培养具备管理、经济、法律等方面基本知识，系统掌握会计学基本理论、基本方法和基本技能，有较强的继续学习的能力，能在企事业单位、会计师事务所等单位从事财会、审计实务工作的应用型专门人才。</w:t>
      </w:r>
    </w:p>
    <w:p w14:paraId="5BD4E2E6">
      <w:pPr>
        <w:spacing w:line="360" w:lineRule="auto"/>
        <w:ind w:firstLine="551" w:firstLineChars="196"/>
        <w:rPr>
          <w:rFonts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二、培养要求</w:t>
      </w:r>
    </w:p>
    <w:p w14:paraId="374DE004">
      <w:pPr>
        <w:spacing w:line="360" w:lineRule="auto"/>
        <w:ind w:firstLine="480" w:firstLineChars="200"/>
        <w:rPr>
          <w:rFonts w:hAnsiTheme="minorEastAsia" w:eastAsiaTheme="minorEastAsia"/>
          <w:sz w:val="24"/>
        </w:rPr>
      </w:pPr>
      <w:r>
        <w:rPr>
          <w:rFonts w:hint="eastAsia" w:hAnsiTheme="minorEastAsia" w:eastAsiaTheme="minorEastAsia"/>
          <w:sz w:val="24"/>
        </w:rPr>
        <w:t>系统学习会计学的基本理论和基本方法，熟悉会计相关法律法规和制度，具有一定的会计职业判断能力以及综合分析问题、解决问题的能力，能较好地胜任财会、审计相关工作的需要。</w:t>
      </w:r>
    </w:p>
    <w:p w14:paraId="659C647D">
      <w:pPr>
        <w:spacing w:line="360" w:lineRule="auto"/>
        <w:ind w:firstLine="551" w:firstLineChars="196"/>
        <w:rPr>
          <w:rFonts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三、修读要求</w:t>
      </w:r>
    </w:p>
    <w:p w14:paraId="39821725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学生修读时间为两年。完成辅修专业培养方案中不少于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门课程的学习且未达到辅修专业要求，可申请首都经济贸易大学会计学专业辅修课程修读证明；修满规定的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学分且满足相应条件</w:t>
      </w:r>
      <w:r>
        <w:rPr>
          <w:rStyle w:val="20"/>
          <w:rFonts w:ascii="宋体" w:hAnsi="宋体"/>
          <w:sz w:val="24"/>
        </w:rPr>
        <w:footnoteReference w:id="0"/>
      </w:r>
      <w:r>
        <w:rPr>
          <w:rFonts w:hint="eastAsia" w:ascii="宋体" w:hAnsi="宋体"/>
          <w:sz w:val="24"/>
        </w:rPr>
        <w:t>，可申请首都经济贸易大学会计学专业辅修证书；修满规定的</w:t>
      </w:r>
      <w:r>
        <w:rPr>
          <w:rFonts w:ascii="宋体" w:hAnsi="宋体"/>
          <w:sz w:val="24"/>
        </w:rPr>
        <w:t>35</w:t>
      </w:r>
      <w:r>
        <w:rPr>
          <w:rFonts w:hint="eastAsia" w:ascii="宋体" w:hAnsi="宋体"/>
          <w:sz w:val="24"/>
        </w:rPr>
        <w:t>学分（含毕业论文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学分）且满足相关条件，可申请首都经济贸易大学会计学专业辅修学士学位。</w:t>
      </w:r>
    </w:p>
    <w:p w14:paraId="02F243E5">
      <w:pPr>
        <w:spacing w:line="360" w:lineRule="auto"/>
        <w:ind w:firstLine="480"/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四、教学计划表</w:t>
      </w:r>
      <w:r>
        <w:rPr>
          <w:rFonts w:hint="eastAsia"/>
        </w:rPr>
        <w:tab/>
      </w:r>
    </w:p>
    <w:tbl>
      <w:tblPr>
        <w:tblStyle w:val="17"/>
        <w:tblW w:w="850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2"/>
        <w:gridCol w:w="1012"/>
        <w:gridCol w:w="156"/>
        <w:gridCol w:w="1971"/>
        <w:gridCol w:w="567"/>
        <w:gridCol w:w="567"/>
        <w:gridCol w:w="567"/>
        <w:gridCol w:w="567"/>
        <w:gridCol w:w="1559"/>
        <w:gridCol w:w="709"/>
      </w:tblGrid>
      <w:tr w14:paraId="6BA47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35E97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09BC1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FDE1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4E25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开设学期</w:t>
            </w:r>
            <w:r>
              <w:rPr>
                <w:rFonts w:eastAsiaTheme="minorEastAsia"/>
                <w:b/>
                <w:bCs/>
                <w:kern w:val="0"/>
                <w:szCs w:val="21"/>
              </w:rPr>
              <w:t>/</w:t>
            </w: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周学时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5BE21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课程承担单位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C5EB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考试类型</w:t>
            </w:r>
          </w:p>
        </w:tc>
      </w:tr>
      <w:tr w14:paraId="239A2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A60BB7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24A7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B6E4DA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62BE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00DCD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E17C4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266B7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29EA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3A8A9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</w:tr>
      <w:tr w14:paraId="5F46F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29E6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4F8C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040043A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94FF3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会计学基础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CECB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890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06D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3C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E1EED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32B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56935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BF17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B17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040014A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74F10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财务管理学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0FA2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9356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2BA1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8C52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FBAF1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605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49F86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B9FC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E80A0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0421003A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9250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中级财务会计（上）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F8D5C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EE54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DB87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B975D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A793D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A0AA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4F3BC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6C67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96428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szCs w:val="21"/>
              </w:rPr>
              <w:t>040134A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41598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成本管理会计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D3180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0C7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13D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70115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5966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F5E9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03791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60D5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9FAA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0421013A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28A4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中级财务会计（下）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0827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8F40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7901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03F8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261E8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2D3E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105D5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C5B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AA7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040264A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1E896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审计学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47DA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8F7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9DF5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98E5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60D2D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36F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59938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3F5D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AAA9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041204A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E73BD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高级财务会计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AE53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73FE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A3B4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0266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CEAB8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58E5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考试</w:t>
            </w:r>
          </w:p>
        </w:tc>
      </w:tr>
      <w:tr w14:paraId="006A0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BDD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2B10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040284B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F38A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会计信息系统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655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4979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73F8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E3F6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2D57D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076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2D9E4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3DE1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BC94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0421042B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5CE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财务分析与公司估值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F8EF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BACA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AB11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7E0C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C31B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4CA3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考查</w:t>
            </w:r>
          </w:p>
        </w:tc>
      </w:tr>
      <w:tr w14:paraId="7B4A6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6177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</w:t>
            </w:r>
            <w:r>
              <w:rPr>
                <w:rFonts w:eastAsiaTheme="minor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02F6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9903614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CBE6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辅修专业论文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620F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B133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E333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FFBA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2FE0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会计学院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7880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7A3FA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0A91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41CB8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E8342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E283B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1</w:t>
            </w:r>
            <w:r>
              <w:rPr>
                <w:rFonts w:eastAsiaTheme="minorEastAsia"/>
                <w:b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A548C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1</w:t>
            </w:r>
            <w:r>
              <w:rPr>
                <w:rFonts w:eastAsiaTheme="minorEastAsia"/>
                <w:b/>
                <w:kern w:val="0"/>
                <w:szCs w:val="21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A551A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3</w:t>
            </w:r>
            <w:r>
              <w:rPr>
                <w:rFonts w:eastAsiaTheme="minorEastAsia"/>
                <w:b/>
                <w:kern w:val="0"/>
                <w:szCs w:val="21"/>
              </w:rPr>
              <w:t>5</w:t>
            </w:r>
          </w:p>
        </w:tc>
      </w:tr>
      <w:tr w14:paraId="6B4A9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6597DA9">
            <w:pPr>
              <w:widowControl/>
              <w:ind w:left="113" w:right="113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备选课程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6C570">
            <w:pPr>
              <w:widowControl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13C11">
            <w:pPr>
              <w:widowControl/>
              <w:jc w:val="left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A44F8">
            <w:pPr>
              <w:widowControl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4D469">
            <w:pPr>
              <w:adjustRightInd w:val="0"/>
              <w:snapToGrid w:val="0"/>
              <w:jc w:val="center"/>
              <w:rPr>
                <w:rFonts w:eastAsiaTheme="minorEastAsia"/>
                <w:color w:val="BFBFBF" w:themeColor="background1" w:themeShade="BF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6C5B">
            <w:pPr>
              <w:widowControl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</w:tr>
      <w:tr w14:paraId="0550F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9852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F520A">
            <w:pPr>
              <w:widowControl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B11B6">
            <w:pPr>
              <w:widowControl/>
              <w:jc w:val="left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36947">
            <w:pPr>
              <w:widowControl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AB3DE">
            <w:pPr>
              <w:adjustRightInd w:val="0"/>
              <w:snapToGrid w:val="0"/>
              <w:jc w:val="center"/>
              <w:rPr>
                <w:rFonts w:eastAsiaTheme="minorEastAsia"/>
                <w:color w:val="BFBFBF" w:themeColor="background1" w:themeShade="BF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314C7">
            <w:pPr>
              <w:widowControl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</w:tr>
      <w:tr w14:paraId="114A5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9E56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38A2B">
            <w:pPr>
              <w:widowControl/>
              <w:jc w:val="left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89253">
            <w:pPr>
              <w:widowControl/>
              <w:jc w:val="left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59FD">
            <w:pPr>
              <w:widowControl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2FE99">
            <w:pPr>
              <w:adjustRightInd w:val="0"/>
              <w:snapToGrid w:val="0"/>
              <w:jc w:val="center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E1C8E">
            <w:pPr>
              <w:widowControl/>
              <w:jc w:val="left"/>
              <w:rPr>
                <w:rFonts w:eastAsiaTheme="minorEastAsia"/>
                <w:color w:val="BFBFBF" w:themeColor="background1" w:themeShade="BF"/>
                <w:kern w:val="0"/>
                <w:szCs w:val="21"/>
              </w:rPr>
            </w:pPr>
          </w:p>
        </w:tc>
      </w:tr>
      <w:tr w14:paraId="4E663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FF2E7">
            <w:pPr>
              <w:adjustRightInd w:val="0"/>
              <w:snapToGrid w:val="0"/>
              <w:spacing w:line="360" w:lineRule="auto"/>
              <w:ind w:left="113" w:leftChars="54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  <w:t>相关制度执行</w:t>
            </w:r>
            <w:r>
              <w:rPr>
                <w:rFonts w:ascii="宋体" w:hAnsi="宋体" w:eastAsia="宋体" w:cs="宋体"/>
                <w:sz w:val="21"/>
                <w:szCs w:val="21"/>
                <w:highlight w:val="yellow"/>
              </w:rPr>
              <w:t>首都经济贸易大学 本科生辅修专业（双学位）管理办法 （2023 年修订）</w:t>
            </w:r>
          </w:p>
        </w:tc>
      </w:tr>
    </w:tbl>
    <w:p w14:paraId="4215ADF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</w:p>
    <w:p w14:paraId="54BFD5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30669776">
      <w:pPr>
        <w:pStyle w:val="14"/>
      </w:pPr>
      <w:r>
        <w:rPr>
          <w:rStyle w:val="20"/>
        </w:rPr>
        <w:footnoteRef/>
      </w:r>
      <w:r>
        <w:rPr>
          <w:rFonts w:hint="eastAsia"/>
        </w:rPr>
        <w:t xml:space="preserve"> 申请辅修证书、学士学位相应条件详见《首都经济贸易大学本科生辅修专业（双学位）管理办法》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F3"/>
    <w:rsid w:val="00076AA9"/>
    <w:rsid w:val="000D3555"/>
    <w:rsid w:val="000F06A4"/>
    <w:rsid w:val="00122296"/>
    <w:rsid w:val="00132007"/>
    <w:rsid w:val="00151B6D"/>
    <w:rsid w:val="001662BC"/>
    <w:rsid w:val="00190220"/>
    <w:rsid w:val="001E3FDA"/>
    <w:rsid w:val="001E54F3"/>
    <w:rsid w:val="001E7AD5"/>
    <w:rsid w:val="00256A59"/>
    <w:rsid w:val="00295A5F"/>
    <w:rsid w:val="002B78E4"/>
    <w:rsid w:val="002F3533"/>
    <w:rsid w:val="003A3FD6"/>
    <w:rsid w:val="003B02B4"/>
    <w:rsid w:val="003F11BB"/>
    <w:rsid w:val="00420F82"/>
    <w:rsid w:val="00427961"/>
    <w:rsid w:val="004367F4"/>
    <w:rsid w:val="004A3C56"/>
    <w:rsid w:val="004A400C"/>
    <w:rsid w:val="004E7CEA"/>
    <w:rsid w:val="004F20FA"/>
    <w:rsid w:val="00513C2E"/>
    <w:rsid w:val="00520D81"/>
    <w:rsid w:val="00555522"/>
    <w:rsid w:val="00606C1F"/>
    <w:rsid w:val="00615D90"/>
    <w:rsid w:val="00630E77"/>
    <w:rsid w:val="006401B7"/>
    <w:rsid w:val="00641AB4"/>
    <w:rsid w:val="006A0123"/>
    <w:rsid w:val="007157BE"/>
    <w:rsid w:val="00733548"/>
    <w:rsid w:val="007514E2"/>
    <w:rsid w:val="007563F8"/>
    <w:rsid w:val="00760B02"/>
    <w:rsid w:val="00763EDD"/>
    <w:rsid w:val="007B5657"/>
    <w:rsid w:val="007D1846"/>
    <w:rsid w:val="007D2B45"/>
    <w:rsid w:val="007D5643"/>
    <w:rsid w:val="007F6DDC"/>
    <w:rsid w:val="008205A9"/>
    <w:rsid w:val="008224EA"/>
    <w:rsid w:val="00833218"/>
    <w:rsid w:val="00853E68"/>
    <w:rsid w:val="008B3464"/>
    <w:rsid w:val="008C1067"/>
    <w:rsid w:val="008D6027"/>
    <w:rsid w:val="008F21F4"/>
    <w:rsid w:val="00935726"/>
    <w:rsid w:val="009F3C42"/>
    <w:rsid w:val="00AF233C"/>
    <w:rsid w:val="00B1459D"/>
    <w:rsid w:val="00B849B0"/>
    <w:rsid w:val="00BA7B2A"/>
    <w:rsid w:val="00BB381E"/>
    <w:rsid w:val="00BC0A58"/>
    <w:rsid w:val="00BD02CE"/>
    <w:rsid w:val="00BE6712"/>
    <w:rsid w:val="00C0081B"/>
    <w:rsid w:val="00C42990"/>
    <w:rsid w:val="00C93A70"/>
    <w:rsid w:val="00CB34B8"/>
    <w:rsid w:val="00CC6F99"/>
    <w:rsid w:val="00D222F0"/>
    <w:rsid w:val="00D74609"/>
    <w:rsid w:val="00D97541"/>
    <w:rsid w:val="00DB7D7A"/>
    <w:rsid w:val="00DD14F5"/>
    <w:rsid w:val="00E01A8C"/>
    <w:rsid w:val="00E12D5A"/>
    <w:rsid w:val="00E8350F"/>
    <w:rsid w:val="00E97202"/>
    <w:rsid w:val="00EE0DA4"/>
    <w:rsid w:val="00F619CB"/>
    <w:rsid w:val="00FD2C95"/>
    <w:rsid w:val="00FE2F7B"/>
    <w:rsid w:val="02511F45"/>
    <w:rsid w:val="03404493"/>
    <w:rsid w:val="077706A0"/>
    <w:rsid w:val="09D04097"/>
    <w:rsid w:val="0A1C72DC"/>
    <w:rsid w:val="0CE41785"/>
    <w:rsid w:val="0F4277E5"/>
    <w:rsid w:val="100827DD"/>
    <w:rsid w:val="13A445CA"/>
    <w:rsid w:val="13C95DDF"/>
    <w:rsid w:val="15545B7C"/>
    <w:rsid w:val="15997A33"/>
    <w:rsid w:val="16F13FCB"/>
    <w:rsid w:val="188350F6"/>
    <w:rsid w:val="1D181B85"/>
    <w:rsid w:val="1E200CF1"/>
    <w:rsid w:val="1FF93EF0"/>
    <w:rsid w:val="20A025BE"/>
    <w:rsid w:val="256718FC"/>
    <w:rsid w:val="2F9C21A2"/>
    <w:rsid w:val="34B54432"/>
    <w:rsid w:val="353A66E5"/>
    <w:rsid w:val="354D466A"/>
    <w:rsid w:val="355E6877"/>
    <w:rsid w:val="360D204B"/>
    <w:rsid w:val="38F372D7"/>
    <w:rsid w:val="3C7B7D0F"/>
    <w:rsid w:val="40802CFB"/>
    <w:rsid w:val="44760DBC"/>
    <w:rsid w:val="45260A34"/>
    <w:rsid w:val="45A858ED"/>
    <w:rsid w:val="45C36283"/>
    <w:rsid w:val="4AA246B9"/>
    <w:rsid w:val="530A729F"/>
    <w:rsid w:val="560721BC"/>
    <w:rsid w:val="57392849"/>
    <w:rsid w:val="58AD0DF8"/>
    <w:rsid w:val="59814033"/>
    <w:rsid w:val="5A3B41BB"/>
    <w:rsid w:val="5C471564"/>
    <w:rsid w:val="63A66B70"/>
    <w:rsid w:val="64787BF2"/>
    <w:rsid w:val="64C9179D"/>
    <w:rsid w:val="67B101D9"/>
    <w:rsid w:val="684D3A5E"/>
    <w:rsid w:val="6A0B3BD1"/>
    <w:rsid w:val="6A8E65B0"/>
    <w:rsid w:val="6ACD04FD"/>
    <w:rsid w:val="700417EE"/>
    <w:rsid w:val="74F87447"/>
    <w:rsid w:val="75D25EEA"/>
    <w:rsid w:val="772B3B04"/>
    <w:rsid w:val="77F55EC0"/>
    <w:rsid w:val="796C5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24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5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rPr>
      <w:rFonts w:ascii="Calibri" w:hAnsi="Calibri"/>
      <w:sz w:val="20"/>
      <w:szCs w:val="20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9">
    <w:name w:val="Balloon Text"/>
    <w:basedOn w:val="1"/>
    <w:link w:val="36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3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widowControl/>
      <w:tabs>
        <w:tab w:val="right" w:leader="dot" w:pos="8296"/>
      </w:tabs>
      <w:spacing w:after="100" w:line="276" w:lineRule="auto"/>
      <w:jc w:val="center"/>
    </w:pPr>
    <w:rPr>
      <w:rFonts w:ascii="黑体" w:hAnsi="Calibri" w:eastAsia="黑体"/>
      <w:kern w:val="0"/>
      <w:sz w:val="22"/>
      <w:szCs w:val="22"/>
    </w:rPr>
  </w:style>
  <w:style w:type="paragraph" w:styleId="13">
    <w:name w:val="Subtitle"/>
    <w:basedOn w:val="1"/>
    <w:next w:val="1"/>
    <w:link w:val="27"/>
    <w:qFormat/>
    <w:uiPriority w:val="99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14">
    <w:name w:val="footnote text"/>
    <w:basedOn w:val="1"/>
    <w:link w:val="34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15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6">
    <w:name w:val="Title"/>
    <w:basedOn w:val="1"/>
    <w:next w:val="1"/>
    <w:link w:val="26"/>
    <w:qFormat/>
    <w:uiPriority w:val="99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19">
    <w:name w:val="Strong"/>
    <w:qFormat/>
    <w:uiPriority w:val="22"/>
    <w:rPr>
      <w:b/>
      <w:bCs/>
    </w:rPr>
  </w:style>
  <w:style w:type="character" w:styleId="20">
    <w:name w:val="footnote reference"/>
    <w:basedOn w:val="18"/>
    <w:semiHidden/>
    <w:unhideWhenUsed/>
    <w:uiPriority w:val="99"/>
    <w:rPr>
      <w:vertAlign w:val="superscript"/>
    </w:rPr>
  </w:style>
  <w:style w:type="character" w:customStyle="1" w:styleId="21">
    <w:name w:val="标题 1 字符"/>
    <w:link w:val="2"/>
    <w:uiPriority w:val="99"/>
    <w:rPr>
      <w:rFonts w:ascii="Calibri" w:hAnsi="Calibri"/>
      <w:b/>
      <w:bCs/>
      <w:kern w:val="44"/>
      <w:sz w:val="44"/>
      <w:szCs w:val="44"/>
    </w:rPr>
  </w:style>
  <w:style w:type="character" w:customStyle="1" w:styleId="22">
    <w:name w:val="标题 2 字符"/>
    <w:link w:val="3"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23">
    <w:name w:val="标题 3 字符"/>
    <w:link w:val="4"/>
    <w:uiPriority w:val="99"/>
    <w:rPr>
      <w:rFonts w:ascii="Calibri" w:hAnsi="Calibri"/>
      <w:b/>
      <w:bCs/>
      <w:kern w:val="2"/>
      <w:sz w:val="32"/>
      <w:szCs w:val="32"/>
    </w:rPr>
  </w:style>
  <w:style w:type="character" w:customStyle="1" w:styleId="24">
    <w:name w:val="标题 4 字符"/>
    <w:basedOn w:val="18"/>
    <w:link w:val="5"/>
    <w:uiPriority w:val="99"/>
    <w:rPr>
      <w:rFonts w:ascii="Arial" w:hAnsi="Arial" w:eastAsia="黑体"/>
      <w:b/>
      <w:bCs/>
      <w:kern w:val="2"/>
      <w:sz w:val="28"/>
      <w:szCs w:val="28"/>
    </w:rPr>
  </w:style>
  <w:style w:type="character" w:customStyle="1" w:styleId="25">
    <w:name w:val="标题 5 字符"/>
    <w:basedOn w:val="18"/>
    <w:link w:val="6"/>
    <w:uiPriority w:val="99"/>
    <w:rPr>
      <w:b/>
      <w:bCs/>
      <w:kern w:val="2"/>
      <w:sz w:val="28"/>
      <w:szCs w:val="28"/>
    </w:rPr>
  </w:style>
  <w:style w:type="character" w:customStyle="1" w:styleId="26">
    <w:name w:val="标题 字符"/>
    <w:basedOn w:val="18"/>
    <w:link w:val="16"/>
    <w:uiPriority w:val="99"/>
    <w:rPr>
      <w:rFonts w:ascii="Arial" w:hAnsi="Arial"/>
      <w:b/>
      <w:bCs/>
      <w:kern w:val="2"/>
      <w:sz w:val="32"/>
      <w:szCs w:val="32"/>
    </w:rPr>
  </w:style>
  <w:style w:type="character" w:customStyle="1" w:styleId="27">
    <w:name w:val="副标题 字符"/>
    <w:basedOn w:val="18"/>
    <w:link w:val="13"/>
    <w:uiPriority w:val="99"/>
    <w:rPr>
      <w:rFonts w:ascii="Arial" w:hAnsi="Arial"/>
      <w:b/>
      <w:bCs/>
      <w:kern w:val="28"/>
      <w:sz w:val="32"/>
      <w:szCs w:val="32"/>
    </w:rPr>
  </w:style>
  <w:style w:type="paragraph" w:styleId="28">
    <w:name w:val="No Spacing"/>
    <w:link w:val="29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9">
    <w:name w:val="无间隔 字符"/>
    <w:link w:val="28"/>
    <w:uiPriority w:val="1"/>
    <w:rPr>
      <w:rFonts w:ascii="Calibri" w:hAnsi="Calibri"/>
      <w:sz w:val="22"/>
      <w:szCs w:val="22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1">
    <w:name w:val="TOC Heading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2">
    <w:name w:val="页眉 字符"/>
    <w:basedOn w:val="18"/>
    <w:link w:val="11"/>
    <w:uiPriority w:val="99"/>
    <w:rPr>
      <w:kern w:val="2"/>
      <w:sz w:val="18"/>
      <w:szCs w:val="18"/>
    </w:rPr>
  </w:style>
  <w:style w:type="character" w:customStyle="1" w:styleId="33">
    <w:name w:val="页脚 字符"/>
    <w:basedOn w:val="18"/>
    <w:link w:val="10"/>
    <w:uiPriority w:val="99"/>
    <w:rPr>
      <w:kern w:val="2"/>
      <w:sz w:val="18"/>
      <w:szCs w:val="18"/>
    </w:rPr>
  </w:style>
  <w:style w:type="character" w:customStyle="1" w:styleId="34">
    <w:name w:val="脚注文本 字符"/>
    <w:basedOn w:val="18"/>
    <w:link w:val="14"/>
    <w:semiHidden/>
    <w:uiPriority w:val="99"/>
    <w:rPr>
      <w:kern w:val="2"/>
      <w:sz w:val="18"/>
      <w:szCs w:val="18"/>
    </w:rPr>
  </w:style>
  <w:style w:type="paragraph" w:customStyle="1" w:styleId="35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36">
    <w:name w:val="批注框文本 字符"/>
    <w:basedOn w:val="18"/>
    <w:link w:val="9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CCD1-EBE9-4CFF-BEC4-D6A2A38DC5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697</Characters>
  <Lines>6</Lines>
  <Paragraphs>1</Paragraphs>
  <TotalTime>0</TotalTime>
  <ScaleCrop>false</ScaleCrop>
  <LinksUpToDate>false</LinksUpToDate>
  <CharactersWithSpaces>720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2021-05-08T08:12:00Z</dcterms:created>
  <dc:creator>DELL</dc:creator>
  <cp:lastModifiedBy>强生</cp:lastModifiedBy>
  <cp:lastPrinted>2021-07-13T01:05:00Z</cp:lastPrinted>
  <dcterms:modified xsi:type="dcterms:W3CDTF">2025-04-25T05:27:42Z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eyJoZGlkIjoiNzdmNTIzNTE2M2I3OGMxMjY1ZjUwNDhhOGFjZjNlN2IiLCJ1c2VySWQiOiI1ODMwMTc3NTMifQ==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8508C4F63F0B4F2286F4962E081EFF49_12</vt:lpwstr>
  </property>
</Properties>
</file>