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CB82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会计学（数智化国际会计）专业</w:t>
      </w:r>
    </w:p>
    <w:p w14:paraId="085CD0FD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学分制本科人才培养方案</w:t>
      </w:r>
    </w:p>
    <w:p w14:paraId="4E88BDD5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（120203K）</w:t>
      </w:r>
    </w:p>
    <w:p w14:paraId="545EE9EE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34087E43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是首都经济贸易大学会计学院会计学专业的一个特色分支，将大数据、人工智能等现代信息技术与传统会计深度融合，旨在培养信息化、国际化复合型高级会计人才。2023年开始招生，其培养方案、课程体系及目标要求均体现了数字化、智能和国际化人才培养定位。专业师资队伍实力雄厚，现有专任教师18人，其中正高4人、副高8人、讲师6人。他们教学经验丰富，科研与社会服务能力强，具备较强的IT技术背景和应用开发能力，为教学质量提供坚实保障。其支撑学科为北京市重点学科 —— 会计学科，2018年入选北京市高精尖学科。在学术科研方面成果丰硕，近年来获批多项国家级科研项目，教师在国内外权威期刊发表众多论文。专业培养特色鲜明，注重学科理论和技术应用相联系，强调实验教学与专业实习，以培养适应首都经济建设的复合型、国际型、应用型会计人才为目标，将“精专业、懂技术、善沟通”贯穿教育过程。学院积极开展校企交流和国际交流，与代表人工智能、大数据的国内知名企业及境外高校长期合作。学生毕业去向广泛，可在政府、金融、工商等各类企事业单位从数智化会计等相关工作，也可选择考研、出国深造。多年来，该专业在市属高校中招生分数高，学生就业质量好，社会评价与声誉良好，为北京地区输送了大量高层次会计人才，是培养中高层次财会专业人才的重要阵地。</w:t>
      </w:r>
    </w:p>
    <w:p w14:paraId="151B604F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73B77AAD">
      <w:pPr>
        <w:spacing w:line="360" w:lineRule="auto"/>
        <w:ind w:firstLine="480" w:firstLineChars="200"/>
        <w:rPr>
          <w:sz w:val="24"/>
          <w:szCs w:val="28"/>
        </w:rPr>
      </w:pPr>
      <w:r>
        <w:rPr>
          <w:rFonts w:hint="eastAsia" w:eastAsiaTheme="minorEastAsia"/>
          <w:sz w:val="24"/>
        </w:rPr>
        <w:t>会计学（数智化国际会计）专业培养全面贯彻党和国家的教育方针，紧密契合学校的办学定位，深度融入以大数据、人工智能（AI）为代表的现代信息技术和社会经济发展环境，积极响应国家及区域发展战略需求，致力于培养具备前沿信息化应用技术和手段、广阔国际视野，能敏锐洞察前沿知识与理念，引领行业发展潮流的高素质会计人才。通过系统</w:t>
      </w:r>
      <w:r>
        <w:rPr>
          <w:rFonts w:hint="eastAsia"/>
          <w:sz w:val="24"/>
          <w:szCs w:val="28"/>
        </w:rPr>
        <w:t>学习会计、管理、经济、法律和计算机应用等知识，具备适应数智化和国际化环境之下的会计知识视野和能力素质，能够将大数据、人工智能（AI）等数智化技术与方法熟练地应用于会计实践当中，</w:t>
      </w:r>
      <w:r>
        <w:rPr>
          <w:sz w:val="24"/>
          <w:szCs w:val="28"/>
        </w:rPr>
        <w:t>在企事业单位及政府部门胜任</w:t>
      </w:r>
      <w:r>
        <w:rPr>
          <w:rFonts w:hint="eastAsia"/>
          <w:sz w:val="24"/>
          <w:szCs w:val="28"/>
        </w:rPr>
        <w:t>财会审</w:t>
      </w:r>
      <w:r>
        <w:rPr>
          <w:sz w:val="24"/>
          <w:szCs w:val="28"/>
        </w:rPr>
        <w:t>工作的</w:t>
      </w:r>
      <w:r>
        <w:rPr>
          <w:rFonts w:hint="eastAsia"/>
          <w:sz w:val="24"/>
          <w:szCs w:val="28"/>
        </w:rPr>
        <w:t>国际化、</w:t>
      </w:r>
      <w:r>
        <w:rPr>
          <w:sz w:val="24"/>
          <w:szCs w:val="28"/>
        </w:rPr>
        <w:t>应用型</w:t>
      </w:r>
      <w:r>
        <w:rPr>
          <w:rFonts w:hint="eastAsia"/>
          <w:sz w:val="24"/>
          <w:szCs w:val="28"/>
        </w:rPr>
        <w:t>、</w:t>
      </w:r>
      <w:r>
        <w:rPr>
          <w:sz w:val="24"/>
          <w:szCs w:val="28"/>
        </w:rPr>
        <w:t>复合</w:t>
      </w:r>
      <w:r>
        <w:rPr>
          <w:rFonts w:hint="eastAsia"/>
          <w:sz w:val="24"/>
          <w:szCs w:val="28"/>
        </w:rPr>
        <w:t>型的数智化财会专门</w:t>
      </w:r>
      <w:r>
        <w:rPr>
          <w:sz w:val="24"/>
          <w:szCs w:val="28"/>
        </w:rPr>
        <w:t>人才</w:t>
      </w:r>
      <w:r>
        <w:rPr>
          <w:rFonts w:hint="eastAsia"/>
          <w:sz w:val="24"/>
          <w:szCs w:val="28"/>
        </w:rPr>
        <w:t>。</w:t>
      </w:r>
    </w:p>
    <w:p w14:paraId="5514D654">
      <w:pPr>
        <w:spacing w:line="360" w:lineRule="auto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具体目标如下：</w:t>
      </w:r>
    </w:p>
    <w:p w14:paraId="75E5125E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sz w:val="24"/>
          <w:szCs w:val="28"/>
        </w:rPr>
        <w:t>目标1：</w:t>
      </w:r>
      <w:r>
        <w:rPr>
          <w:rFonts w:hint="eastAsia"/>
          <w:sz w:val="24"/>
          <w:szCs w:val="28"/>
        </w:rPr>
        <w:t>知识和技能目标：使学生全面掌握经济、管理、法律、会计学、审计学、财务管理等基础理论知识，熟练运用专业知识解决会计、管理、财务等实际问题。通过学习大数据、云计算、人工智能等数字化和智能化技术，让学生熟练掌握会计信息系统、区块链技术、商业智能与财会决策支持等智能化工具和软件，AI工具财务软件、</w:t>
      </w:r>
      <w:r>
        <w:rPr>
          <w:rFonts w:hint="eastAsia" w:eastAsiaTheme="minorEastAsia"/>
          <w:sz w:val="24"/>
        </w:rPr>
        <w:t>数据分析工具，能够运用 AI 技术进行财务预测、风险评估，精准解读财务数据，为企业决策提供有力的数据支持，毕业5年内成为企业数字化、智能化业务骨干。</w:t>
      </w:r>
    </w:p>
    <w:p w14:paraId="7B41836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目标2：</w:t>
      </w:r>
      <w:r>
        <w:rPr>
          <w:rFonts w:hint="eastAsia" w:eastAsiaTheme="minorEastAsia"/>
          <w:sz w:val="24"/>
        </w:rPr>
        <w:t>职业发展目标：使学生在全面掌握经济管理、法律、会计、审计、大数据、人工智能AI等理论和技术技能的基础上，根据国家、国际、企业及岗位发展需要，结合自身专业兴趣、特长，全面把握以AI、大数据等新一代信息技术发展趋势，为自身职业发展制定清晰目标和路线图，快速成长为职能性、数字化、国际化高级会计管理人才。</w:t>
      </w:r>
    </w:p>
    <w:p w14:paraId="53F63B1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目标3：</w:t>
      </w:r>
      <w:r>
        <w:rPr>
          <w:rFonts w:hint="eastAsia" w:eastAsiaTheme="minorEastAsia"/>
          <w:sz w:val="24"/>
        </w:rPr>
        <w:t>国际化视野目标：通过本专业学习，使学生具备宽广的国际业务视野，掌握国际化管理和交流技能，通过数智化学习和实践转型，培养利用AI、MIS、BD等技术系统获取国际资源和发展机遇的能力。</w:t>
      </w:r>
    </w:p>
    <w:p w14:paraId="35380A5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目标4：</w:t>
      </w:r>
      <w:r>
        <w:rPr>
          <w:rFonts w:hint="eastAsia" w:eastAsiaTheme="minorEastAsia"/>
          <w:sz w:val="24"/>
        </w:rPr>
        <w:t>数智化技能目标：以OpenAI、DeepSeek为代表的新一代人工智能工具和平台，为传统会计智能化转型创造了良机。本专业将采用不同方式和渠道，引导和训练学生利用AI、GAI等技术和工具，为会计信息的采集、整理、利用、增值以及企业会计领域的解决方案，培养专业能力和实践能力。在企业应用智能财务、FSSC、大数据审计等岗位发挥作用。</w:t>
      </w:r>
    </w:p>
    <w:p w14:paraId="6650B36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目标5：</w:t>
      </w:r>
      <w:r>
        <w:rPr>
          <w:rFonts w:hint="eastAsia" w:eastAsiaTheme="minorEastAsia"/>
          <w:sz w:val="24"/>
        </w:rPr>
        <w:t>创新和发展培养目标：本专业着重培养学生扎实的专业知识与信息技术结合的能力，具备较强的适应能力与创新精神，在数智化会计和智能化管理领域发挥作用，在就业市场中具有明显的竞争优势。</w:t>
      </w:r>
    </w:p>
    <w:p w14:paraId="29170B3F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1BF45BB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1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知识要求</w:t>
      </w:r>
    </w:p>
    <w:p w14:paraId="2D78933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1.1 掌握扎实的人工智能、程序语言、经济管理、会计学、审计学等知识，深刻理解宏观经济运行规律、企业管理基本原理及经济法律体系框架，能够运用其进行发现问题、分析问题和实际工作中产生的问题，并给出解决思路。</w:t>
      </w:r>
    </w:p>
    <w:p w14:paraId="4B968B6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1.2 掌握信息化原理、互联网+、数据库与大数据、人工智能等信息技术方面的知识。能够利用互联网、机器学习、数据挖掘等技术和工具，对会计领域的信息处理、风险预警、价值管理等工作。</w:t>
      </w:r>
    </w:p>
    <w:p w14:paraId="3A465E9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1.3 具备良好的外语知识，能够熟练阅读外文文献，熟悉国际会计报告准则相关英文表述，可与国际同行就专业问题进行交流。</w:t>
      </w:r>
    </w:p>
    <w:p w14:paraId="19FEA94C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2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能力要求</w:t>
      </w:r>
    </w:p>
    <w:p w14:paraId="6475C39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2.1 自主学习能力：能够制定合理的学习计划，主动跟踪数智化与会计融合领域的前沿知识与技术发展，通过在线课程、学术会议等多种渠道自我提升，每学年至少完成 2 项与专业相关的自主学习项目，并能将所学应用于实际问题解决。</w:t>
      </w:r>
    </w:p>
    <w:p w14:paraId="5D5E300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2.2 沟通表达能力：能够在团队会议、商务谈判等场合，清晰、有条理地阐述观点与方案，书面表达上能撰写规范、准确的财务报告、分析文档，确保信息在企业内外部有效传递。</w:t>
      </w:r>
    </w:p>
    <w:p w14:paraId="3FCD9B2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2.3 专业技术能力：熟练运用AI工具、数智化平台处理会计业务和企业数据的能力；掌握数据商业智能、财会决策支持软件、数据化分析工具（如 Excel 高级功能、Python 数据分析库、Power BI）对财务数据进行深度挖掘与分析，能够独立完成企业年度财务分析报告。</w:t>
      </w:r>
    </w:p>
    <w:p w14:paraId="5C1E371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2.4 学术创新能力：能够基于单位实际问题，提出创新性研究思路，在教师指导下参与科研项目，大学期间至少参与校级及以上科研课题或撰写，争取发表专业相关学术论文或研究报告。</w:t>
      </w:r>
    </w:p>
    <w:p w14:paraId="7A55CE76">
      <w:pPr>
        <w:keepNext/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3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素质要求</w:t>
      </w:r>
    </w:p>
    <w:p w14:paraId="64CEF0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3.1 政治素质过硬：深入学习马克思主义理论、习近平新时代中国特色社会主义思想，坚定政治立场，在财务工作中能从国家宏观政策角度把握企业财务战略方向。</w:t>
      </w:r>
    </w:p>
    <w:p w14:paraId="5B3FC12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3.2 道德品质良好：诚实守信，在业务、财务数据处理、信息披露等工作中坚守道德底线，杜绝弄虚作假行为，在校期间无任何学术不端及违反道德规范记录。</w:t>
      </w:r>
    </w:p>
    <w:p w14:paraId="5DE7F9A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3.3 富有职业精神：具备高度的责任心与敬业精神，对数智化会计工作严谨细致，注重细节，在实习及课程实践中，工作差错率控制在最低水平。</w:t>
      </w:r>
    </w:p>
    <w:p w14:paraId="2DCCE4E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3.4 体魄心理健康：</w:t>
      </w:r>
      <w:r>
        <w:rPr>
          <w:rFonts w:hint="eastAsia"/>
          <w:sz w:val="24"/>
          <w:szCs w:val="24"/>
        </w:rPr>
        <w:t>通过学生体质健康测试是毕业条件之一</w:t>
      </w:r>
      <w:r>
        <w:rPr>
          <w:rFonts w:hint="eastAsia"/>
          <w:lang w:eastAsia="zh-CN"/>
        </w:rPr>
        <w:t>。</w:t>
      </w:r>
      <w:r>
        <w:rPr>
          <w:rFonts w:hint="eastAsia" w:eastAsiaTheme="minorEastAsia"/>
          <w:sz w:val="24"/>
        </w:rPr>
        <w:t>通过体育课程及日常锻炼，具备良好的身体素质，能适应高强度的财务工作节奏；掌握心理调适方法，在面对会计工作压力及复杂问题时，保持积极乐观心态，有效应对工作挫折。</w:t>
      </w:r>
    </w:p>
    <w:p w14:paraId="5F75F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Lines="50" w:after="157" w:afterLines="50" w:line="480" w:lineRule="exact"/>
        <w:ind w:firstLine="560" w:firstLineChars="200"/>
        <w:textAlignment w:val="auto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5A4498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sz w:val="24"/>
        </w:rPr>
        <w:t>经济学原理、管理信息系统、管理学、统计学、商法学、</w:t>
      </w:r>
      <w:r>
        <w:rPr>
          <w:rFonts w:hint="eastAsia"/>
          <w:sz w:val="24"/>
        </w:rPr>
        <w:t>商业智能与财会决策支持、会</w:t>
      </w:r>
      <w:r>
        <w:rPr>
          <w:sz w:val="24"/>
        </w:rPr>
        <w:t>计信息系统、商业伦理与会计职业道德</w:t>
      </w:r>
      <w:r>
        <w:rPr>
          <w:rFonts w:hint="eastAsia"/>
          <w:sz w:val="24"/>
        </w:rPr>
        <w:t>、大数据与智能审计、大数据应用案例</w:t>
      </w:r>
      <w:r>
        <w:rPr>
          <w:sz w:val="24"/>
        </w:rPr>
        <w:t>、</w:t>
      </w:r>
      <w:r>
        <w:rPr>
          <w:rFonts w:hint="eastAsia"/>
          <w:sz w:val="24"/>
        </w:rPr>
        <w:t>企业经营决策沙盘模拟、财务共享原理与实践、R</w:t>
      </w:r>
      <w:r>
        <w:rPr>
          <w:sz w:val="24"/>
        </w:rPr>
        <w:t>PA</w:t>
      </w:r>
      <w:r>
        <w:rPr>
          <w:rFonts w:hint="eastAsia"/>
          <w:sz w:val="24"/>
        </w:rPr>
        <w:t>与智能会计、区块链技术及其应用</w:t>
      </w:r>
      <w:r>
        <w:rPr>
          <w:rFonts w:hint="eastAsia"/>
          <w:color w:val="000000"/>
          <w:sz w:val="24"/>
        </w:rPr>
        <w:t>案例</w:t>
      </w:r>
      <w:r>
        <w:rPr>
          <w:rFonts w:hint="eastAsia" w:eastAsiaTheme="minorEastAsia"/>
          <w:sz w:val="24"/>
        </w:rPr>
        <w:t>、《程序语言设计》等课程，为深入学习数智化、国际化专业课程打好基础。</w:t>
      </w:r>
    </w:p>
    <w:p w14:paraId="1B65F59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经济与管理基础类：《经济学原理》《管理学》，为理解市场经济规律和企业管理基本原理奠定基础。</w:t>
      </w:r>
    </w:p>
    <w:p w14:paraId="4BB07F3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财务会计类：《会计学基础》《中级财务会计》《高级财务会计》，讲授会计核算原理、复杂会计业务处理等专业知识。</w:t>
      </w:r>
    </w:p>
    <w:p w14:paraId="621BBB3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数字化与智能财务类：</w:t>
      </w:r>
      <w:r>
        <w:rPr>
          <w:rFonts w:hint="eastAsia"/>
          <w:sz w:val="24"/>
        </w:rPr>
        <w:t>商业智能与财会决策支持、会</w:t>
      </w:r>
      <w:r>
        <w:rPr>
          <w:sz w:val="24"/>
        </w:rPr>
        <w:t>计信息系统、</w:t>
      </w:r>
      <w:r>
        <w:rPr>
          <w:rFonts w:hint="eastAsia"/>
          <w:sz w:val="24"/>
        </w:rPr>
        <w:t>大数据与智能审计、大数据应用案例</w:t>
      </w:r>
      <w:r>
        <w:rPr>
          <w:sz w:val="24"/>
        </w:rPr>
        <w:t>、</w:t>
      </w:r>
      <w:r>
        <w:rPr>
          <w:rFonts w:hint="eastAsia"/>
          <w:sz w:val="24"/>
        </w:rPr>
        <w:t>企业经营决策沙盘模拟、财务共享原理与实践、R</w:t>
      </w:r>
      <w:r>
        <w:rPr>
          <w:sz w:val="24"/>
        </w:rPr>
        <w:t>PA</w:t>
      </w:r>
      <w:r>
        <w:rPr>
          <w:rFonts w:hint="eastAsia"/>
          <w:sz w:val="24"/>
        </w:rPr>
        <w:t>与智能会计、区块链技术及其应用</w:t>
      </w:r>
      <w:r>
        <w:rPr>
          <w:color w:val="000000"/>
          <w:sz w:val="24"/>
        </w:rPr>
        <w:t>。</w:t>
      </w:r>
      <w:r>
        <w:rPr>
          <w:rFonts w:hint="eastAsia" w:eastAsiaTheme="minorEastAsia"/>
          <w:sz w:val="24"/>
        </w:rPr>
        <w:t>培养学生运用大数据、人工智能等信息化技术和智能工具进行管理决策与会计处理的能力。</w:t>
      </w:r>
    </w:p>
    <w:p w14:paraId="33D46E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相关法律类：《商法学》《税法》《商业伦理与会计职业道德》，使学生熟悉商业活动和会计中的法律规范、伦理范式和道德遵循。</w:t>
      </w:r>
    </w:p>
    <w:p w14:paraId="0A1886E9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（3）专业知识图谱</w:t>
      </w:r>
    </w:p>
    <w:p w14:paraId="3526E6C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底层基础：以通识教育课程为根基，涵盖思想政治、外语、数学、体育等知识，培养学生基本素养和学习能力。其中，微积分、线性代数、概率论与数理统计等数学课程为后续定量分析打下基础；英语课程助力学生具备国际交流和阅读外文文献的能力。</w:t>
      </w:r>
    </w:p>
    <w:p w14:paraId="40247A3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学科支撑：经济学原理、管理学知识构建起学科框架，让学生了解宏观经济环境和企业运营管理模式；商法学、税法等法律知识提供法律保障，确保会计工作合规高效。</w:t>
      </w:r>
    </w:p>
    <w:p w14:paraId="7DF0B57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专业核心：围绕会计学、会计信息系统、商业智能与财会决策支持等学科展开，以会计知识为数据来源，依托信息系统工具、数据分析和挖掘工具，协助会计人员进行信息处理和辅助智能决策。</w:t>
      </w:r>
    </w:p>
    <w:p w14:paraId="2CD11EA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数字化赋能：融入人工智能、大数据、区块链、RPA等现代信息技术课程，使学生能够利用现代信息技术提升会计效率和决策科学性，适应数字化时代的会计工作需求。</w:t>
      </w:r>
    </w:p>
    <w:p w14:paraId="4B32F40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拓展与实践：通过专业提升课和专业拓展课，学生可根据自身兴趣和职业规划深入学习特定领域知识，如公司治理、金融（工程）学、财会机器人等。同时，实践环节将所学知识应用于实际工作，培养学生解决实际问题的能力。</w:t>
      </w:r>
    </w:p>
    <w:p w14:paraId="69ABFB45">
      <w:pPr>
        <w:adjustRightInd w:val="0"/>
        <w:snapToGrid w:val="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object>
          <v:shape id="_x0000_i1025" o:spt="75" type="#_x0000_t75" style="height:317.25pt;width:436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8">
            <o:LockedField>false</o:LockedField>
          </o:OLEObject>
        </w:object>
      </w:r>
    </w:p>
    <w:p w14:paraId="2997A92D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195E0D9E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2F9FD66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符合学士学位授予条件者，授予管理学士学位</w:t>
      </w:r>
      <w:r>
        <w:rPr>
          <w:rFonts w:eastAsiaTheme="minorEastAsia"/>
          <w:sz w:val="24"/>
        </w:rPr>
        <w:t>。</w:t>
      </w:r>
    </w:p>
    <w:p w14:paraId="6B512785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highlight w:val="none"/>
        </w:rPr>
        <w:t>148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14:paraId="7BB41D5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14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806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EDE7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AEA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343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7B33A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F1A5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648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38EDA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09338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48</w:t>
            </w:r>
          </w:p>
        </w:tc>
      </w:tr>
      <w:tr w14:paraId="522E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1AFF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A7D7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6CDB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4662FC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&gt;=</w:t>
            </w:r>
            <w:r>
              <w:rPr>
                <w:rFonts w:hint="eastAsia"/>
                <w:sz w:val="24"/>
              </w:rPr>
              <w:t>10</w:t>
            </w:r>
          </w:p>
        </w:tc>
      </w:tr>
      <w:tr w14:paraId="7C383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CF0ED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D0A6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E8F712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F15B5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36</w:t>
            </w:r>
          </w:p>
        </w:tc>
      </w:tr>
      <w:tr w14:paraId="187CC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AB9E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FDB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1B4C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33BD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&gt;=</w:t>
            </w: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1F38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0A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391D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FF41E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4BFD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786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77E7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1C28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78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B9E7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91AC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148</w:t>
            </w:r>
          </w:p>
        </w:tc>
      </w:tr>
    </w:tbl>
    <w:p w14:paraId="02F16D02">
      <w:pPr>
        <w:spacing w:line="360" w:lineRule="auto"/>
        <w:ind w:firstLine="482" w:firstLineChars="200"/>
        <w:rPr>
          <w:b/>
          <w:bCs/>
          <w:sz w:val="24"/>
        </w:rPr>
      </w:pPr>
    </w:p>
    <w:p w14:paraId="2D3CB404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213679AF">
      <w:pPr>
        <w:pStyle w:val="35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0853F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1BDA5EF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3541B91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36E3BE3B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27598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CC6E556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E439D4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13ECA5B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1FAACF7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083941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37F6043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96C15D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74.32</w:t>
            </w:r>
          </w:p>
        </w:tc>
      </w:tr>
      <w:tr w14:paraId="60EB1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369EE8C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D7DE4E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46843E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92654E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3A6867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15B1F76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C291B9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25.68</w:t>
            </w:r>
          </w:p>
        </w:tc>
      </w:tr>
      <w:tr w14:paraId="3B160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3B943B4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A1A9352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214E5A0">
            <w:pPr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018A7B5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22544A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F4F7C31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7294F906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73CEE302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</w:p>
    <w:p w14:paraId="6E161D1B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9779C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BD86F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4D5287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3EEE51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657ABD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4D1336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319EA6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4F88032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54867D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696" w:type="dxa"/>
          </w:tcPr>
          <w:p w14:paraId="3607D8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</w:t>
            </w:r>
          </w:p>
        </w:tc>
      </w:tr>
      <w:tr w14:paraId="086F1D6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7F756D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57C7CFA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E0670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----</w:t>
            </w:r>
          </w:p>
        </w:tc>
        <w:tc>
          <w:tcPr>
            <w:tcW w:w="1696" w:type="dxa"/>
          </w:tcPr>
          <w:p w14:paraId="13A837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&gt;=10</w:t>
            </w:r>
          </w:p>
        </w:tc>
      </w:tr>
      <w:tr w14:paraId="4B00B4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37D87F3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161A84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7AABBB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696" w:type="dxa"/>
          </w:tcPr>
          <w:p w14:paraId="540A0C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</w:tr>
      <w:tr w14:paraId="5A1B9B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1ED6C3E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4E3A09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71098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----</w:t>
            </w:r>
          </w:p>
        </w:tc>
        <w:tc>
          <w:tcPr>
            <w:tcW w:w="1696" w:type="dxa"/>
          </w:tcPr>
          <w:p w14:paraId="56A07F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&gt;=27</w:t>
            </w:r>
          </w:p>
        </w:tc>
      </w:tr>
      <w:tr w14:paraId="1B1C40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5E9DAF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43B802D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5CF389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C2182F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121</w:t>
            </w:r>
          </w:p>
        </w:tc>
      </w:tr>
    </w:tbl>
    <w:p w14:paraId="3C28FC74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</w:p>
    <w:p w14:paraId="7DEB1472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5C1D78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40A2C6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42C97BA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6D01F9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6F7DAB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1D28A3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75B7208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bookmarkStart w:id="0" w:name="OLE_LINK1" w:colFirst="3" w:colLast="3"/>
            <w:bookmarkStart w:id="1" w:name="OLE_LINK2" w:colFirst="3" w:colLast="3"/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4E3EC3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569EF1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22CC0F8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1978D8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7E0BF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813BB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334DCF2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1-4</w:t>
            </w:r>
          </w:p>
        </w:tc>
        <w:tc>
          <w:tcPr>
            <w:tcW w:w="1254" w:type="dxa"/>
          </w:tcPr>
          <w:p w14:paraId="21CC90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14:paraId="58C2FD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365BF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0DD04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4421212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F15BE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E3E9E9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C41C5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1FCE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14A94B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5B8CC1B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7B42B6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986FB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FD1A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602CAE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596DC4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649F00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687DC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FCED15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21ED56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2EC4C6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D63CB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136FE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3B49C4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46E2714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12650C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774755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C66004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40264EAF">
            <w:p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人工智能导论</w:t>
            </w:r>
          </w:p>
        </w:tc>
        <w:tc>
          <w:tcPr>
            <w:tcW w:w="1413" w:type="dxa"/>
            <w:shd w:val="clear" w:color="auto" w:fill="auto"/>
          </w:tcPr>
          <w:p w14:paraId="18A558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A48D6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</w:t>
            </w:r>
          </w:p>
        </w:tc>
      </w:tr>
      <w:bookmarkEnd w:id="0"/>
      <w:tr w14:paraId="6BA8EE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9DD65F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B0FF51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B5FE9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644E8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B1553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7C15CA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247875F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21E0787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FB467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8945B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8C418D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3350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0374B59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3E7CC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0DB48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426A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F10D4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3BAC710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83A35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F565E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A92413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9AAE08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7B7968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4B5774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71484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0FCD3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3A2A16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2E7ED79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9C98E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BDA9F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FCF51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0620D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实践</w:t>
            </w:r>
          </w:p>
        </w:tc>
        <w:tc>
          <w:tcPr>
            <w:tcW w:w="1413" w:type="dxa"/>
            <w:vAlign w:val="center"/>
          </w:tcPr>
          <w:p w14:paraId="5E8135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0FC303D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0C62B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D340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312C50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455D009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2B6B6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6E7434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0907CB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4EC44A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5D11E1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EA02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2F73E5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93E62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EEE575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7C24D8A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3B087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6D606B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48F64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999E4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0F61BC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63AB6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587D99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DA436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</w:tcPr>
          <w:p w14:paraId="35EC2CA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413" w:type="dxa"/>
            <w:shd w:val="clear" w:color="auto" w:fill="auto"/>
          </w:tcPr>
          <w:p w14:paraId="3D8102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53E2CD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CB5C2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1709A0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C5613E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会计信息系统</w:t>
            </w:r>
          </w:p>
        </w:tc>
        <w:tc>
          <w:tcPr>
            <w:tcW w:w="1413" w:type="dxa"/>
            <w:shd w:val="clear" w:color="auto" w:fill="auto"/>
          </w:tcPr>
          <w:p w14:paraId="151508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1670F4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C6B0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0B235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B92A78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RPA与智能会计</w:t>
            </w:r>
          </w:p>
        </w:tc>
        <w:tc>
          <w:tcPr>
            <w:tcW w:w="1413" w:type="dxa"/>
            <w:shd w:val="clear" w:color="auto" w:fill="auto"/>
          </w:tcPr>
          <w:p w14:paraId="5B9231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2A9C5D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B0582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090F46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5703334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财务共享原理与实践</w:t>
            </w:r>
          </w:p>
        </w:tc>
        <w:tc>
          <w:tcPr>
            <w:tcW w:w="1413" w:type="dxa"/>
            <w:shd w:val="clear" w:color="auto" w:fill="auto"/>
          </w:tcPr>
          <w:p w14:paraId="766512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378ACD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ABB37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53808F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1741E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商业智能与财会决策支持</w:t>
            </w:r>
          </w:p>
        </w:tc>
        <w:tc>
          <w:tcPr>
            <w:tcW w:w="1413" w:type="dxa"/>
          </w:tcPr>
          <w:p w14:paraId="3A984A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17B8C6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37383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DDCF3D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0CF084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企业经营决策沙盘模拟</w:t>
            </w:r>
          </w:p>
        </w:tc>
        <w:tc>
          <w:tcPr>
            <w:tcW w:w="1413" w:type="dxa"/>
          </w:tcPr>
          <w:p w14:paraId="771275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045DD5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61ED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1B47ED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17EABB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大数据与智能审计</w:t>
            </w:r>
          </w:p>
        </w:tc>
        <w:tc>
          <w:tcPr>
            <w:tcW w:w="1413" w:type="dxa"/>
          </w:tcPr>
          <w:p w14:paraId="269976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0E5AA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05CCC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65C92C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0C1A56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IT审计</w:t>
            </w:r>
          </w:p>
        </w:tc>
        <w:tc>
          <w:tcPr>
            <w:tcW w:w="1413" w:type="dxa"/>
          </w:tcPr>
          <w:p w14:paraId="72CFED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0FD3AA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bookmarkEnd w:id="1"/>
      <w:tr w14:paraId="3EB20D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2C8E83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3D9B4A0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0C1CF9D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shd w:val="clear" w:color="auto" w:fill="FFFF00"/>
              </w:rPr>
              <w:t>43.5</w:t>
            </w:r>
          </w:p>
        </w:tc>
      </w:tr>
    </w:tbl>
    <w:p w14:paraId="3F9EE36A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9111F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- 7 -</w:t>
    </w:r>
    <w:r>
      <w:rPr>
        <w:rFonts w:ascii="宋体" w:hAnsi="宋体"/>
        <w:sz w:val="28"/>
      </w:rPr>
      <w:fldChar w:fldCharType="end"/>
    </w:r>
  </w:p>
  <w:p w14:paraId="4632212F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CB565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- 8 -</w:t>
    </w:r>
    <w:r>
      <w:rPr>
        <w:rFonts w:ascii="宋体" w:hAnsi="宋体"/>
        <w:sz w:val="28"/>
      </w:rPr>
      <w:fldChar w:fldCharType="end"/>
    </w:r>
  </w:p>
  <w:p w14:paraId="579DF6B0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BA943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2D608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2EBE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575E"/>
    <w:rsid w:val="00145FC0"/>
    <w:rsid w:val="0014755A"/>
    <w:rsid w:val="0014783B"/>
    <w:rsid w:val="0015138E"/>
    <w:rsid w:val="00156D96"/>
    <w:rsid w:val="001602FB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3949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518A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9F0"/>
    <w:rsid w:val="00236EB3"/>
    <w:rsid w:val="00237084"/>
    <w:rsid w:val="00237508"/>
    <w:rsid w:val="0024085A"/>
    <w:rsid w:val="00240CE9"/>
    <w:rsid w:val="00241205"/>
    <w:rsid w:val="00243A4D"/>
    <w:rsid w:val="00243B37"/>
    <w:rsid w:val="0024571F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4EC0"/>
    <w:rsid w:val="002B60A3"/>
    <w:rsid w:val="002B6DF9"/>
    <w:rsid w:val="002B6EB8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117F"/>
    <w:rsid w:val="002F5838"/>
    <w:rsid w:val="002F5B62"/>
    <w:rsid w:val="00300C9D"/>
    <w:rsid w:val="00301D77"/>
    <w:rsid w:val="0030719E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53A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97BD4"/>
    <w:rsid w:val="004A1DE0"/>
    <w:rsid w:val="004A39E3"/>
    <w:rsid w:val="004A3BCE"/>
    <w:rsid w:val="004A439E"/>
    <w:rsid w:val="004A4C9C"/>
    <w:rsid w:val="004A710A"/>
    <w:rsid w:val="004A7E8E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632B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2B8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B6A24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439A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36D7E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4650"/>
    <w:rsid w:val="006E5B43"/>
    <w:rsid w:val="006E7862"/>
    <w:rsid w:val="006F1E05"/>
    <w:rsid w:val="006F3FAB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0EA6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B1F"/>
    <w:rsid w:val="00822D15"/>
    <w:rsid w:val="008251B6"/>
    <w:rsid w:val="00827AA1"/>
    <w:rsid w:val="0083056C"/>
    <w:rsid w:val="0083075E"/>
    <w:rsid w:val="00831E3F"/>
    <w:rsid w:val="00832920"/>
    <w:rsid w:val="00833D12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8BB"/>
    <w:rsid w:val="008A29EB"/>
    <w:rsid w:val="008A32B7"/>
    <w:rsid w:val="008A5BD5"/>
    <w:rsid w:val="008A5D3D"/>
    <w:rsid w:val="008A7361"/>
    <w:rsid w:val="008A7621"/>
    <w:rsid w:val="008B3E41"/>
    <w:rsid w:val="008B5986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76F"/>
    <w:rsid w:val="008F49BD"/>
    <w:rsid w:val="00905107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4C52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3671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66D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97AA2"/>
    <w:rsid w:val="00AA085C"/>
    <w:rsid w:val="00AA0BE0"/>
    <w:rsid w:val="00AA175F"/>
    <w:rsid w:val="00AA3A86"/>
    <w:rsid w:val="00AA4B87"/>
    <w:rsid w:val="00AA5FEC"/>
    <w:rsid w:val="00AA73F8"/>
    <w:rsid w:val="00AA79CE"/>
    <w:rsid w:val="00AB3F90"/>
    <w:rsid w:val="00AB4AC8"/>
    <w:rsid w:val="00AB6976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4168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5801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2072"/>
    <w:rsid w:val="00BF3359"/>
    <w:rsid w:val="00BF4E7D"/>
    <w:rsid w:val="00C008BA"/>
    <w:rsid w:val="00C009F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2A9C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74350"/>
    <w:rsid w:val="00C81966"/>
    <w:rsid w:val="00C82764"/>
    <w:rsid w:val="00C8322E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5565A"/>
    <w:rsid w:val="00D6145E"/>
    <w:rsid w:val="00D6327D"/>
    <w:rsid w:val="00D63831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5F79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C2B"/>
    <w:rsid w:val="00E76617"/>
    <w:rsid w:val="00E769B6"/>
    <w:rsid w:val="00E76A4C"/>
    <w:rsid w:val="00E76DDD"/>
    <w:rsid w:val="00E778B8"/>
    <w:rsid w:val="00E80B25"/>
    <w:rsid w:val="00E8401E"/>
    <w:rsid w:val="00E90960"/>
    <w:rsid w:val="00E92520"/>
    <w:rsid w:val="00E92B4D"/>
    <w:rsid w:val="00E96314"/>
    <w:rsid w:val="00E97318"/>
    <w:rsid w:val="00EA1A09"/>
    <w:rsid w:val="00EA2E33"/>
    <w:rsid w:val="00EA7E36"/>
    <w:rsid w:val="00EB1D3E"/>
    <w:rsid w:val="00EB61AF"/>
    <w:rsid w:val="00EC0D07"/>
    <w:rsid w:val="00EC3C52"/>
    <w:rsid w:val="00EC6A52"/>
    <w:rsid w:val="00EC6D53"/>
    <w:rsid w:val="00ED2686"/>
    <w:rsid w:val="00ED2953"/>
    <w:rsid w:val="00ED3BBF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3492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B7D78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B0768A"/>
    <w:rsid w:val="0BF64289"/>
    <w:rsid w:val="0C573467"/>
    <w:rsid w:val="0CA77331"/>
    <w:rsid w:val="0CBB0492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31F89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A83758"/>
    <w:rsid w:val="10B90CBB"/>
    <w:rsid w:val="10C13081"/>
    <w:rsid w:val="10E943BC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5035FA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7AC6F40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B87273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4B0882"/>
    <w:rsid w:val="2C565DC5"/>
    <w:rsid w:val="2C771D6E"/>
    <w:rsid w:val="2C917AB8"/>
    <w:rsid w:val="2CBB4B82"/>
    <w:rsid w:val="2CD535EF"/>
    <w:rsid w:val="2D5E35E4"/>
    <w:rsid w:val="2E074904"/>
    <w:rsid w:val="2E0C4DEE"/>
    <w:rsid w:val="2E234BB6"/>
    <w:rsid w:val="2E6B795A"/>
    <w:rsid w:val="2EE1627B"/>
    <w:rsid w:val="2F171C9D"/>
    <w:rsid w:val="2FA572A9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3376F3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0C42D0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B2819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8F1E2E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8546E"/>
    <w:rsid w:val="44CD1324"/>
    <w:rsid w:val="452C56B4"/>
    <w:rsid w:val="453273D9"/>
    <w:rsid w:val="457D2136"/>
    <w:rsid w:val="459C0CF6"/>
    <w:rsid w:val="45C80698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164574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493CE0"/>
    <w:rsid w:val="4B98310F"/>
    <w:rsid w:val="4BCB7C3F"/>
    <w:rsid w:val="4C215AB1"/>
    <w:rsid w:val="4C96586E"/>
    <w:rsid w:val="4D03278F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397AF5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05A0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F90CB9"/>
    <w:rsid w:val="5A1E1882"/>
    <w:rsid w:val="5A5610B2"/>
    <w:rsid w:val="5A5D684E"/>
    <w:rsid w:val="5A6C4CE3"/>
    <w:rsid w:val="5A8E07B6"/>
    <w:rsid w:val="5A9D4E9D"/>
    <w:rsid w:val="5ABC17C7"/>
    <w:rsid w:val="5AD84127"/>
    <w:rsid w:val="5AE859F4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B8B58ED"/>
    <w:rsid w:val="6C4671DF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5C278E4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4089</Words>
  <Characters>4254</Characters>
  <Lines>1334</Lines>
  <Paragraphs>919</Paragraphs>
  <TotalTime>4</TotalTime>
  <ScaleCrop>false</ScaleCrop>
  <LinksUpToDate>false</LinksUpToDate>
  <CharactersWithSpaces>4275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2025-03-14T01:56:00Z</dcterms:created>
  <dc:creator>user</dc:creator>
  <cp:lastModifiedBy>彼岸花开</cp:lastModifiedBy>
  <cp:lastPrinted>2025-03-13T07:59:00Z</cp:lastPrinted>
  <dcterms:modified xsi:type="dcterms:W3CDTF">2025-04-30T01:21:20Z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eyJoZGlkIjoiNzdmNTIzNTE2M2I3OGMxMjY1ZjUwNDhhOGFjZjNlN2IiLCJ1c2VySWQiOiI1ODMwMTc3NTMifQ==</vt:lpwstr>
  </property>
</Properties>
</file>