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450D5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 w14:paraId="307804DC">
      <w:pPr>
        <w:jc w:val="center"/>
        <w:rPr>
          <w:rFonts w:hint="eastAsia"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传播学专业学分制本科人才培养方案</w:t>
      </w:r>
    </w:p>
    <w:p w14:paraId="4625959F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（专业代码：050304）</w:t>
      </w:r>
    </w:p>
    <w:p w14:paraId="3B83F559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</w:p>
    <w:p w14:paraId="578570A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339B3D22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传播学是一</w:t>
      </w:r>
      <w:r>
        <w:rPr>
          <w:rFonts w:hint="eastAsia"/>
          <w:sz w:val="24"/>
          <w:lang w:val="en-US" w:eastAsia="zh-CN"/>
        </w:rPr>
        <w:t>个</w:t>
      </w:r>
      <w:r>
        <w:rPr>
          <w:rFonts w:hint="eastAsia"/>
          <w:sz w:val="24"/>
        </w:rPr>
        <w:t>理论与实践并重的专业。我校传播学专业开设于2004年，是国内较早在本科阶段设立该专业的院校之一。传播学</w:t>
      </w:r>
      <w:r>
        <w:rPr>
          <w:rFonts w:hint="eastAsia"/>
          <w:sz w:val="24"/>
          <w:lang w:val="en-US" w:eastAsia="zh-CN"/>
        </w:rPr>
        <w:t>专业成立二十年来，不断发展，持续成长。</w:t>
      </w:r>
      <w:r>
        <w:rPr>
          <w:rFonts w:hint="eastAsia"/>
          <w:sz w:val="24"/>
        </w:rPr>
        <w:t>拥有国内一流的传媒教学实验中心。与经济日报社合作，打造经济新闻人才培养基地，是北京市属院校中唯一一家与中央级媒体进行部校共建的单位。2019年，传播学专业获批北京市级一流专业。</w:t>
      </w:r>
    </w:p>
    <w:p w14:paraId="02524D80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拥有一批国内顶尖高校毕业的师资队伍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目前专任教师17人，其中教授、副教授共11人。教师团队持续攀登科研高峰，研究成果丰硕。</w:t>
      </w:r>
      <w:r>
        <w:rPr>
          <w:rFonts w:hint="eastAsia"/>
          <w:sz w:val="24"/>
          <w:lang w:val="en-US" w:eastAsia="zh-CN"/>
        </w:rPr>
        <w:t>二十年来</w:t>
      </w:r>
      <w:r>
        <w:rPr>
          <w:rFonts w:hint="eastAsia"/>
          <w:sz w:val="24"/>
        </w:rPr>
        <w:t>，传播学系教师出版专著多部，获批多项国家社科基金项目、教育部社科课题及北京市社科研究项目，在SSCI、CSSCI等国际国内权威期刊上发表高质量学术论文数十篇，完成智库成果多篇。</w:t>
      </w:r>
    </w:p>
    <w:p w14:paraId="08521B4D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传播学</w:t>
      </w:r>
      <w:r>
        <w:rPr>
          <w:rFonts w:hint="eastAsia"/>
          <w:sz w:val="24"/>
        </w:rPr>
        <w:t>专业立足北京，服务京津冀，辐射全国，凭借我校经济学、管理学的优势，以马克思主义新闻观为统领，贯彻新时代“大思政”教育理念，以媒介经营管理为特色，培养适应新时代要求的复合型、应用型传媒人才。</w:t>
      </w:r>
      <w:r>
        <w:rPr>
          <w:rFonts w:hint="eastAsia"/>
          <w:sz w:val="24"/>
          <w:lang w:val="en-US" w:eastAsia="zh-CN"/>
        </w:rPr>
        <w:t>与</w:t>
      </w:r>
      <w:r>
        <w:rPr>
          <w:rFonts w:hint="eastAsia"/>
          <w:sz w:val="24"/>
        </w:rPr>
        <w:t>英国威斯敏斯特大学</w:t>
      </w:r>
      <w:r>
        <w:rPr>
          <w:rFonts w:hint="eastAsia"/>
          <w:sz w:val="24"/>
          <w:lang w:val="en-US" w:eastAsia="zh-CN"/>
        </w:rPr>
        <w:t>合作，开展</w:t>
      </w:r>
      <w:r>
        <w:rPr>
          <w:rFonts w:hint="eastAsia"/>
          <w:sz w:val="24"/>
        </w:rPr>
        <w:t>对外交流、暑期项目</w:t>
      </w:r>
      <w:r>
        <w:rPr>
          <w:rFonts w:hint="eastAsia"/>
          <w:sz w:val="24"/>
          <w:lang w:eastAsia="zh-CN"/>
        </w:rPr>
        <w:t>。</w:t>
      </w:r>
    </w:p>
    <w:p w14:paraId="13A9A3F3">
      <w:pPr>
        <w:adjustRightInd w:val="0"/>
        <w:snapToGrid w:val="0"/>
        <w:spacing w:line="480" w:lineRule="exact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毕业生就业去向广泛，大多供职于政府部门、企事业单位、传媒公司、互联网新媒体公司和传统媒体机构。</w:t>
      </w:r>
      <w:r>
        <w:rPr>
          <w:rFonts w:hint="eastAsia"/>
          <w:sz w:val="24"/>
          <w:lang w:val="en-US" w:eastAsia="zh-CN"/>
        </w:rPr>
        <w:t>毕业生在用人单位获得较好评价。</w:t>
      </w:r>
    </w:p>
    <w:p w14:paraId="5715C1AA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在2024年软科专业排名中，首经贸传播学评级B+，专业排名全国第21位，专业影响力不断增强，获得学界与社会的广泛认可。</w:t>
      </w:r>
    </w:p>
    <w:p w14:paraId="15F47231">
      <w:pPr>
        <w:adjustRightInd w:val="0"/>
        <w:snapToGrid w:val="0"/>
        <w:spacing w:line="480" w:lineRule="exact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文化与传播学院按照学科大类进行招生。学生入学后，再根据个人兴趣、学业成绩、职业规划等因素选择具体专业。志愿优先，兼顾成绩。</w:t>
      </w:r>
    </w:p>
    <w:p w14:paraId="0EEB7D4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3A9FE9A2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b/>
          <w:bCs/>
          <w:sz w:val="24"/>
        </w:rPr>
      </w:pPr>
      <w:r>
        <w:rPr>
          <w:rFonts w:ascii="宋体" w:hAnsi="宋体" w:eastAsia="宋体" w:cs="宋体"/>
          <w:sz w:val="24"/>
          <w:szCs w:val="24"/>
        </w:rPr>
        <w:t>本专业以立德树人为根本，面向媒体发展前沿，培养具有正确的世界观、人生观和价值观，具备宽厚的人文底蕴和扎实的社会科学基础，系统掌握传播理论和技能，具备马克思主义新闻观，拥有先进的媒介经营管理理念，熟悉传媒产业的法规、政策与伦理，具备全媒体内容生产与传播能力，能在党政机关、企业、传媒和其他社会组织中从事新闻生产、文化传播、产品运营、品牌推广、公共关系等领域的相关工作，适应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智</w:t>
      </w:r>
      <w:r>
        <w:rPr>
          <w:rFonts w:ascii="宋体" w:hAnsi="宋体" w:eastAsia="宋体" w:cs="宋体"/>
          <w:sz w:val="24"/>
          <w:szCs w:val="24"/>
        </w:rPr>
        <w:t>媒介时代要求的复合型、应用型、国际化传媒人才。</w:t>
      </w:r>
    </w:p>
    <w:p w14:paraId="3CE5C674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目标1：具备宽厚的人文底蕴和扎实的社会科学基础</w:t>
      </w:r>
    </w:p>
    <w:p w14:paraId="3BA9BCAC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具备深厚的人文底蕴，包括对文化、历史、哲学、文学等领域的理解和素养；同时，掌握扎实的社会科学基础，涵盖社会学、心理学、政治学等学科知识，为专业学习和发展提供坚实支撑。</w:t>
      </w:r>
    </w:p>
    <w:p w14:paraId="78746BAE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目标2：系统掌握传播理论和技能，具备马克思主义新闻观</w:t>
      </w:r>
    </w:p>
    <w:p w14:paraId="36D73D85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系统学习传播学、新闻学等领域的理论知识，掌握新闻采访、写作、编辑、摄影、视频制作等专业技能；牢固树立马克思主义新闻观，坚持正确的舆论导向，具有为社会服务的使命感和责任感。</w:t>
      </w:r>
    </w:p>
    <w:p w14:paraId="58D9A1AF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b/>
          <w:bCs/>
          <w:sz w:val="24"/>
        </w:rPr>
        <w:t>目标3：拥有先进的媒体经营管理理念，熟知传媒产业的法规政策与伦理</w:t>
      </w:r>
    </w:p>
    <w:p w14:paraId="4AF558F7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掌握媒体经营管理的先进理念，了解传媒产业的前沿动态，能够将经济学、管理学、市场营销学等领域的知识与传播学相结合；熟悉传媒产业的法规、政策与伦理，具备敏锐的市场意识和法治观念。</w:t>
      </w:r>
    </w:p>
    <w:p w14:paraId="2023B3A6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目标4：具备全媒体内容生产与传播能力，能在多领域胜任相关工作</w:t>
      </w:r>
    </w:p>
    <w:p w14:paraId="3B8E2732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</w:rPr>
      </w:pPr>
      <w:r>
        <w:rPr>
          <w:rFonts w:hint="eastAsia" w:eastAsiaTheme="minorEastAsia"/>
          <w:sz w:val="24"/>
        </w:rPr>
        <w:t>具备全方位的内容生产能力，熟悉媒介产品生产的整个流程；拥有较强的全媒体传播能力，能够运用文字、摄影、音视频等多种手段进行传播；能够在党政机关、企业、传媒和其他社会组织中胜任新闻生产、文化传播、产品运营、品牌推广、公共关系等领域的相关工作。</w:t>
      </w:r>
    </w:p>
    <w:p w14:paraId="5A44F6F0">
      <w:pPr>
        <w:adjustRightInd w:val="0"/>
        <w:snapToGrid w:val="0"/>
        <w:spacing w:line="480" w:lineRule="exact"/>
        <w:ind w:firstLine="482" w:firstLineChars="200"/>
        <w:rPr>
          <w:rFonts w:hint="eastAsia"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目标5：适应数</w:t>
      </w:r>
      <w:r>
        <w:rPr>
          <w:rFonts w:hint="eastAsia" w:eastAsiaTheme="minorEastAsia"/>
          <w:b/>
          <w:bCs/>
          <w:sz w:val="24"/>
          <w:lang w:val="en-US" w:eastAsia="zh-CN"/>
        </w:rPr>
        <w:t>智</w:t>
      </w:r>
      <w:r>
        <w:rPr>
          <w:rFonts w:hint="eastAsia" w:eastAsiaTheme="minorEastAsia"/>
          <w:b/>
          <w:bCs/>
          <w:sz w:val="24"/>
        </w:rPr>
        <w:t>媒介时代要求的创新型、复合型、应用型、国际化的</w:t>
      </w:r>
      <w:r>
        <w:rPr>
          <w:rFonts w:hint="eastAsia" w:eastAsiaTheme="minorEastAsia"/>
          <w:b/>
          <w:bCs/>
          <w:sz w:val="24"/>
          <w:lang w:val="en-US" w:eastAsia="zh-CN"/>
        </w:rPr>
        <w:t>传媒</w:t>
      </w:r>
      <w:r>
        <w:rPr>
          <w:rFonts w:hint="eastAsia" w:eastAsiaTheme="minorEastAsia"/>
          <w:b/>
          <w:bCs/>
          <w:sz w:val="24"/>
        </w:rPr>
        <w:t>人才</w:t>
      </w:r>
    </w:p>
    <w:p w14:paraId="7C848FBF">
      <w:pPr>
        <w:adjustRightInd w:val="0"/>
        <w:snapToGrid w:val="0"/>
        <w:spacing w:line="480" w:lineRule="exact"/>
        <w:ind w:firstLine="480" w:firstLineChars="200"/>
        <w:rPr>
          <w:rFonts w:hint="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</w:rPr>
        <w:t>能够适应数</w:t>
      </w:r>
      <w:r>
        <w:rPr>
          <w:rFonts w:hint="eastAsia" w:eastAsiaTheme="minorEastAsia"/>
          <w:sz w:val="24"/>
          <w:lang w:val="en-US" w:eastAsia="zh-CN"/>
        </w:rPr>
        <w:t>智</w:t>
      </w:r>
      <w:r>
        <w:rPr>
          <w:rFonts w:hint="eastAsia" w:eastAsiaTheme="minorEastAsia"/>
          <w:sz w:val="24"/>
        </w:rPr>
        <w:t>媒介时代飞速发展的需求，具有良好的沟通能力、组织能力、团队合作精神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富有敏锐的创新意识和卓越的创新能力，具备跨学科的复合知识结构、高效的知识转化能力以及宽广的国际视野的高素质传媒人才</w:t>
      </w:r>
      <w:r>
        <w:rPr>
          <w:rFonts w:hint="eastAsia" w:eastAsiaTheme="minorEastAsia"/>
          <w:sz w:val="24"/>
          <w:lang w:eastAsia="zh-CN"/>
        </w:rPr>
        <w:t>。</w:t>
      </w:r>
    </w:p>
    <w:p w14:paraId="240B5ED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</w:p>
    <w:p w14:paraId="28954C7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51D2AFF8">
      <w:pPr>
        <w:adjustRightInd w:val="0"/>
        <w:snapToGrid w:val="0"/>
        <w:spacing w:line="480" w:lineRule="exact"/>
        <w:ind w:firstLine="482" w:firstLineChars="2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1. 知识要求</w:t>
      </w:r>
    </w:p>
    <w:p w14:paraId="23D5B9C2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1.1 </w:t>
      </w:r>
      <w:r>
        <w:rPr>
          <w:rFonts w:hint="eastAsia"/>
          <w:sz w:val="24"/>
          <w:lang w:val="en-US" w:eastAsia="zh-CN"/>
        </w:rPr>
        <w:t>与专业相关的</w:t>
      </w:r>
      <w:r>
        <w:rPr>
          <w:rFonts w:hint="eastAsia"/>
          <w:sz w:val="24"/>
        </w:rPr>
        <w:t>系统知识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掌握传播学领域的系统知识，包括新闻学、传播学、社会学等相关领域的理论知识，熟悉新闻传播的基本规律、原则和方法。</w:t>
      </w:r>
    </w:p>
    <w:p w14:paraId="60357D02">
      <w:pPr>
        <w:adjustRightInd w:val="0"/>
        <w:snapToGrid w:val="0"/>
        <w:spacing w:line="480" w:lineRule="exact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1.2 媒体法规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伦理与政策知识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熟悉传媒产业的法规、制度、伦理和政策</w:t>
      </w:r>
      <w:r>
        <w:rPr>
          <w:rFonts w:hint="eastAsia"/>
          <w:sz w:val="24"/>
          <w:lang w:eastAsia="zh-CN"/>
        </w:rPr>
        <w:t>。</w:t>
      </w:r>
    </w:p>
    <w:p w14:paraId="7F5EF998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1.3 传媒</w:t>
      </w:r>
      <w:r>
        <w:rPr>
          <w:rFonts w:hint="eastAsia"/>
          <w:sz w:val="24"/>
        </w:rPr>
        <w:t>经营管理</w:t>
      </w:r>
      <w:r>
        <w:rPr>
          <w:rFonts w:hint="eastAsia"/>
          <w:sz w:val="24"/>
          <w:lang w:val="en-US" w:eastAsia="zh-CN"/>
        </w:rPr>
        <w:t>知识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</w:rPr>
        <w:t>了解传媒产业的前沿动态，掌握媒体经营管理的先进理念，能够将经济学、管理学、市场营销学等领域的知识与传播学相结合。</w:t>
      </w:r>
    </w:p>
    <w:p w14:paraId="6A0D1F64">
      <w:pPr>
        <w:adjustRightInd w:val="0"/>
        <w:snapToGrid w:val="0"/>
        <w:spacing w:line="480" w:lineRule="exact"/>
        <w:ind w:firstLine="482" w:firstLineChars="2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2. 能力要求</w:t>
      </w:r>
    </w:p>
    <w:p w14:paraId="02055DC8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2.1 自主学习能力：具备独立思考能力和浓厚的人文情怀，能够自主学习和更新专业知识，适应传媒行业的快速发展。</w:t>
      </w:r>
    </w:p>
    <w:p w14:paraId="4844F036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2.2 沟通表达能力：具备良好的沟通能力，能够进行有效的人际交流和团队协作，具备组织能力和团队合作精神。能够运用一门外语进行沟通。</w:t>
      </w:r>
    </w:p>
    <w:p w14:paraId="54DB2D94">
      <w:pPr>
        <w:adjustRightInd w:val="0"/>
        <w:snapToGrid w:val="0"/>
        <w:spacing w:line="480" w:lineRule="exact"/>
        <w:ind w:firstLine="480" w:firstLineChars="200"/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2.3 知识转化能力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：</w:t>
      </w:r>
      <w:r>
        <w:rPr>
          <w:rFonts w:hint="eastAsia"/>
          <w:sz w:val="24"/>
        </w:rPr>
        <w:t>能够将所学的理论知识、技术技能、行业经验等快速、有效地应用于实际工作，并在实践中不断优化和创新，以适应快速变化的传媒环境。</w:t>
      </w:r>
    </w:p>
    <w:p w14:paraId="4D8A238D">
      <w:pPr>
        <w:adjustRightInd w:val="0"/>
        <w:snapToGrid w:val="0"/>
        <w:spacing w:line="480" w:lineRule="exact"/>
        <w:ind w:firstLine="480" w:firstLineChars="200"/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2.4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 xml:space="preserve"> 学术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创新能力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：具备扎实的社科基础和一定的科学研究能力，能够从事相关领域的研究工作。</w:t>
      </w:r>
    </w:p>
    <w:p w14:paraId="764F4E91">
      <w:pPr>
        <w:adjustRightInd w:val="0"/>
        <w:snapToGrid w:val="0"/>
        <w:spacing w:line="480" w:lineRule="exact"/>
        <w:ind w:firstLine="482" w:firstLineChars="2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3. 素质要求</w:t>
      </w:r>
    </w:p>
    <w:p w14:paraId="1C0C3783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3.1 </w:t>
      </w:r>
      <w:r>
        <w:rPr>
          <w:rFonts w:hint="eastAsia"/>
          <w:sz w:val="24"/>
          <w:lang w:val="en-US" w:eastAsia="zh-CN"/>
        </w:rPr>
        <w:t>过硬的</w:t>
      </w:r>
      <w:r>
        <w:rPr>
          <w:rFonts w:hint="eastAsia"/>
          <w:sz w:val="24"/>
        </w:rPr>
        <w:t>政治素质：具备马克思主义新闻观，具有为社会服务的使命感和责任感，遵纪守法，爱岗敬业。</w:t>
      </w:r>
    </w:p>
    <w:p w14:paraId="4BAF13D0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3.2 良好</w:t>
      </w:r>
      <w:r>
        <w:rPr>
          <w:rFonts w:hint="eastAsia"/>
          <w:sz w:val="24"/>
          <w:lang w:val="en-US" w:eastAsia="zh-CN"/>
        </w:rPr>
        <w:t>的</w:t>
      </w:r>
      <w:r>
        <w:rPr>
          <w:rFonts w:hint="eastAsia"/>
          <w:sz w:val="24"/>
        </w:rPr>
        <w:t>道德品质：具有良好的社会公德和职业道德，能够坚守新闻传播的职业道德和伦理规范。</w:t>
      </w:r>
    </w:p>
    <w:p w14:paraId="7E2C5D6A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3.3 </w:t>
      </w:r>
      <w:r>
        <w:rPr>
          <w:rFonts w:hint="eastAsia"/>
          <w:sz w:val="24"/>
          <w:lang w:val="en-US" w:eastAsia="zh-CN"/>
        </w:rPr>
        <w:t>坚定的</w:t>
      </w:r>
      <w:r>
        <w:rPr>
          <w:rFonts w:hint="eastAsia"/>
          <w:sz w:val="24"/>
        </w:rPr>
        <w:t>职业精神：具备敏锐的市场经济意识，能够将专业知识与实际工作相结合，适应党政机关、企业、传媒和其他社会组织的工作需求。</w:t>
      </w:r>
    </w:p>
    <w:p w14:paraId="692DD719">
      <w:pPr>
        <w:adjustRightInd w:val="0"/>
        <w:snapToGrid w:val="0"/>
        <w:spacing w:line="480" w:lineRule="exact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 xml:space="preserve">3.4 </w:t>
      </w:r>
      <w:r>
        <w:rPr>
          <w:rFonts w:hint="eastAsia"/>
          <w:sz w:val="24"/>
          <w:lang w:val="en-US" w:eastAsia="zh-CN"/>
        </w:rPr>
        <w:t>宽广的</w:t>
      </w:r>
      <w:r>
        <w:rPr>
          <w:rFonts w:hint="eastAsia"/>
          <w:sz w:val="24"/>
        </w:rPr>
        <w:t>国际视野</w:t>
      </w:r>
      <w:r>
        <w:rPr>
          <w:rFonts w:hint="eastAsia"/>
          <w:sz w:val="24"/>
          <w:lang w:eastAsia="zh-CN"/>
        </w:rPr>
        <w:t>：对全球不同国家和地区的文化、社会、经济、政治等方面的广泛了解和关注，能够从全球角度看待问题并理解不同文化之间的差异与联系。</w:t>
      </w:r>
    </w:p>
    <w:p w14:paraId="3B0173DA">
      <w:pPr>
        <w:adjustRightInd w:val="0"/>
        <w:snapToGrid w:val="0"/>
        <w:spacing w:line="480" w:lineRule="exact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3.5健康的</w:t>
      </w:r>
      <w:r>
        <w:rPr>
          <w:rFonts w:hint="eastAsia"/>
          <w:sz w:val="24"/>
          <w:lang w:eastAsia="zh-CN"/>
        </w:rPr>
        <w:t>体魄心理</w:t>
      </w:r>
      <w:r>
        <w:rPr>
          <w:rFonts w:hint="eastAsia"/>
          <w:sz w:val="24"/>
        </w:rPr>
        <w:t>：通过学生体质健康测试是毕业条件之一</w:t>
      </w:r>
      <w:r>
        <w:rPr>
          <w:rFonts w:hint="eastAsia"/>
          <w:sz w:val="24"/>
          <w:lang w:eastAsia="zh-CN"/>
        </w:rPr>
        <w:t>。</w:t>
      </w:r>
      <w:r>
        <w:rPr>
          <w:rFonts w:hint="eastAsia"/>
          <w:sz w:val="24"/>
        </w:rPr>
        <w:t>拥有健康的体魄和良好的心理素质，能够应对复杂多变的工作环境和挑战。</w:t>
      </w:r>
    </w:p>
    <w:p w14:paraId="4BA934CA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</w:p>
    <w:p w14:paraId="5CAE376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5AAF5D0B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主干学科：</w:t>
      </w:r>
      <w:r>
        <w:rPr>
          <w:rFonts w:hint="eastAsia"/>
          <w:sz w:val="24"/>
          <w:lang w:val="en-US" w:eastAsia="zh-CN"/>
        </w:rPr>
        <w:t>新闻传播</w:t>
      </w:r>
      <w:r>
        <w:rPr>
          <w:rFonts w:hint="eastAsia"/>
          <w:sz w:val="24"/>
        </w:rPr>
        <w:t>学</w:t>
      </w:r>
    </w:p>
    <w:p w14:paraId="4DC1B276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核心课程：马克思主义新闻观、中外新闻传播史、传播学概论、</w:t>
      </w:r>
      <w:r>
        <w:rPr>
          <w:rFonts w:hint="eastAsia"/>
          <w:sz w:val="24"/>
        </w:rPr>
        <w:t>新闻学概论、影视编导、视听语言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媒介经营与管理、媒介策划与运营实务、</w:t>
      </w:r>
      <w:r>
        <w:rPr>
          <w:rFonts w:hint="eastAsia"/>
          <w:sz w:val="24"/>
          <w:lang w:val="en-US" w:eastAsia="zh-CN"/>
        </w:rPr>
        <w:t>网络与</w:t>
      </w:r>
      <w:r>
        <w:rPr>
          <w:rFonts w:hint="eastAsia"/>
          <w:sz w:val="24"/>
        </w:rPr>
        <w:t>新媒体</w:t>
      </w:r>
      <w:r>
        <w:rPr>
          <w:rFonts w:hint="eastAsia"/>
          <w:sz w:val="24"/>
          <w:lang w:val="en-US" w:eastAsia="zh-CN"/>
        </w:rPr>
        <w:t>概论</w:t>
      </w:r>
      <w:r>
        <w:rPr>
          <w:rFonts w:hint="eastAsia"/>
          <w:sz w:val="24"/>
        </w:rPr>
        <w:t>、传播学研究方法、传播法</w:t>
      </w:r>
    </w:p>
    <w:p w14:paraId="395AAB7E">
      <w:pPr>
        <w:adjustRightInd w:val="0"/>
        <w:snapToGrid w:val="0"/>
        <w:spacing w:line="480" w:lineRule="exact"/>
        <w:ind w:firstLine="420" w:firstLineChars="200"/>
        <w:rPr>
          <w:rFonts w:eastAsia="黑体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-31115</wp:posOffset>
            </wp:positionH>
            <wp:positionV relativeFrom="paragraph">
              <wp:posOffset>169545</wp:posOffset>
            </wp:positionV>
            <wp:extent cx="5650230" cy="3398520"/>
            <wp:effectExtent l="0" t="0" r="0" b="0"/>
            <wp:wrapTopAndBottom/>
            <wp:docPr id="1" name="图片 1" descr="传播学知识图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传播学知识图谱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0230" cy="339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B70186">
      <w:pPr>
        <w:adjustRightInd w:val="0"/>
        <w:snapToGrid w:val="0"/>
        <w:spacing w:line="480" w:lineRule="exact"/>
        <w:ind w:firstLine="560" w:firstLineChars="200"/>
        <w:rPr>
          <w:rFonts w:eastAsia="黑体"/>
          <w:sz w:val="28"/>
          <w:szCs w:val="28"/>
        </w:rPr>
      </w:pPr>
    </w:p>
    <w:p w14:paraId="7D8D6038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</w:p>
    <w:p w14:paraId="0CBAD7FB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/>
          <w:sz w:val="24"/>
          <w:lang w:val="en-US" w:eastAsia="zh-CN"/>
        </w:rPr>
        <w:t>文学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  <w:highlight w:val="none"/>
        </w:rPr>
      </w:pPr>
      <w:r>
        <w:rPr>
          <w:rFonts w:eastAsiaTheme="minorEastAsia"/>
          <w:sz w:val="24"/>
          <w:highlight w:val="none"/>
        </w:rPr>
        <w:t>毕业条件：学生在规定的学习年限内，</w:t>
      </w:r>
      <w:r>
        <w:rPr>
          <w:rFonts w:hint="eastAsia"/>
          <w:sz w:val="24"/>
          <w:highlight w:val="none"/>
        </w:rPr>
        <w:t>完成</w:t>
      </w:r>
      <w:r>
        <w:rPr>
          <w:rFonts w:eastAsiaTheme="minorEastAsia"/>
          <w:sz w:val="24"/>
          <w:highlight w:val="none"/>
        </w:rPr>
        <w:t>培养方案</w:t>
      </w:r>
      <w:r>
        <w:rPr>
          <w:rFonts w:hint="eastAsia"/>
          <w:sz w:val="24"/>
          <w:highlight w:val="none"/>
        </w:rPr>
        <w:t>要求的最低</w:t>
      </w:r>
      <w:r>
        <w:rPr>
          <w:sz w:val="24"/>
          <w:highlight w:val="none"/>
        </w:rPr>
        <w:t>总学分</w:t>
      </w:r>
      <w:r>
        <w:rPr>
          <w:rFonts w:hint="eastAsia"/>
          <w:sz w:val="24"/>
          <w:highlight w:val="none"/>
          <w:lang w:val="en-US" w:eastAsia="zh-CN"/>
        </w:rPr>
        <w:t>139</w:t>
      </w:r>
      <w:r>
        <w:rPr>
          <w:sz w:val="24"/>
          <w:highlight w:val="none"/>
        </w:rPr>
        <w:t>学分</w:t>
      </w:r>
      <w:r>
        <w:rPr>
          <w:rFonts w:hint="eastAsia"/>
          <w:sz w:val="24"/>
          <w:highlight w:val="none"/>
        </w:rPr>
        <w:t>。</w:t>
      </w:r>
      <w:r>
        <w:rPr>
          <w:sz w:val="24"/>
          <w:highlight w:val="none"/>
        </w:rPr>
        <w:t>其中</w:t>
      </w:r>
      <w:r>
        <w:rPr>
          <w:rFonts w:hint="eastAsia"/>
          <w:sz w:val="24"/>
          <w:highlight w:val="none"/>
        </w:rPr>
        <w:t>：</w:t>
      </w:r>
    </w:p>
    <w:tbl>
      <w:tblPr>
        <w:tblStyle w:val="15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highlight w:val="none"/>
                <w:lang w:val="en-US" w:eastAsia="zh-CN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highlight w:val="none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highlight w:val="none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highlight w:val="none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30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47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left"/>
              <w:rPr>
                <w:sz w:val="24"/>
                <w:highlight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rFonts w:hint="default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highlight w:val="none"/>
                <w:lang w:val="en-US" w:eastAsia="zh-CN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11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28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27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实践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教育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不含课堂实验学分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hint="eastAsia" w:eastAsiaTheme="minorEastAsia"/>
                <w:sz w:val="24"/>
                <w:highlight w:val="yellow"/>
                <w:lang w:eastAsia="zh-CN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hint="eastAsia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highlight w:val="none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eastAsiaTheme="minorEastAsia"/>
                <w:sz w:val="24"/>
                <w:highlight w:val="none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default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highlight w:val="none"/>
                <w:lang w:val="en-US" w:eastAsia="zh-CN"/>
              </w:rPr>
              <w:t>139</w:t>
            </w:r>
          </w:p>
        </w:tc>
      </w:tr>
    </w:tbl>
    <w:p w14:paraId="0DAC5D56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2E18D35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4941F8FA">
      <w:pPr>
        <w:pStyle w:val="37"/>
        <w:widowControl/>
        <w:numPr>
          <w:ilvl w:val="0"/>
          <w:numId w:val="0"/>
        </w:numPr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  <w:highlight w:val="none"/>
        </w:rPr>
      </w:pPr>
      <w:r>
        <w:rPr>
          <w:rFonts w:hint="eastAsia" w:ascii="宋体" w:hAnsi="宋体"/>
          <w:b/>
          <w:bCs/>
          <w:kern w:val="0"/>
          <w:sz w:val="24"/>
          <w:szCs w:val="32"/>
          <w:highlight w:val="none"/>
        </w:rPr>
        <w:t>总学分一览表</w:t>
      </w:r>
    </w:p>
    <w:tbl>
      <w:tblPr>
        <w:tblStyle w:val="15"/>
        <w:tblW w:w="83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10"/>
        <w:gridCol w:w="766"/>
        <w:gridCol w:w="1538"/>
        <w:gridCol w:w="767"/>
        <w:gridCol w:w="1407"/>
        <w:gridCol w:w="1428"/>
      </w:tblGrid>
      <w:tr w14:paraId="3826F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FFA1B2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28228D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FFE715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highlight w:val="none"/>
              </w:rPr>
              <w:t>理论与实践教学比例（%）</w:t>
            </w:r>
          </w:p>
        </w:tc>
      </w:tr>
      <w:tr w14:paraId="69BE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47A45A4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139</w:t>
            </w:r>
          </w:p>
        </w:tc>
        <w:tc>
          <w:tcPr>
            <w:tcW w:w="15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5123721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课堂教学环节</w:t>
            </w:r>
          </w:p>
        </w:tc>
        <w:tc>
          <w:tcPr>
            <w:tcW w:w="76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DF4DBC1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112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CCB0C1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4A4C7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97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D4F281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8883C9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70%</w:t>
            </w:r>
          </w:p>
        </w:tc>
      </w:tr>
      <w:tr w14:paraId="3A94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3893536"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10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15FD1"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766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D5853B">
            <w:pPr>
              <w:widowControl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1A8CF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6693B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C420D0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16359B55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30%</w:t>
            </w:r>
          </w:p>
        </w:tc>
      </w:tr>
      <w:tr w14:paraId="22A37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0995D8D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DC98366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课外教学环节</w:t>
            </w:r>
          </w:p>
        </w:tc>
        <w:tc>
          <w:tcPr>
            <w:tcW w:w="76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F6ADD">
            <w:pPr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98CD96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53F18E6">
            <w:pPr>
              <w:widowControl/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5A0546E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99A4A7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  <w:highlight w:val="none"/>
              </w:rPr>
            </w:pPr>
          </w:p>
        </w:tc>
      </w:tr>
    </w:tbl>
    <w:p w14:paraId="4114DC9B">
      <w:pPr>
        <w:pStyle w:val="13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  <w:highlight w:val="none"/>
        </w:rPr>
      </w:pPr>
    </w:p>
    <w:p w14:paraId="27100D68">
      <w:pPr>
        <w:pStyle w:val="37"/>
        <w:widowControl/>
        <w:numPr>
          <w:ilvl w:val="0"/>
          <w:numId w:val="0"/>
        </w:numPr>
        <w:spacing w:line="360" w:lineRule="auto"/>
        <w:jc w:val="center"/>
        <w:rPr>
          <w:rFonts w:ascii="仿宋_GB2312" w:hAnsi="仿宋" w:eastAsia="仿宋_GB2312"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kern w:val="0"/>
          <w:sz w:val="24"/>
          <w:szCs w:val="32"/>
          <w:highlight w:val="none"/>
        </w:rPr>
        <w:t>课堂教学</w:t>
      </w:r>
      <w:r>
        <w:rPr>
          <w:rFonts w:hint="eastAsia" w:ascii="宋体" w:hAnsi="宋体"/>
          <w:b/>
          <w:bCs/>
          <w:kern w:val="0"/>
          <w:sz w:val="24"/>
          <w:szCs w:val="32"/>
          <w:highlight w:val="none"/>
          <w:lang w:val="en-US" w:eastAsia="zh-CN"/>
        </w:rPr>
        <w:t>学分</w:t>
      </w:r>
      <w:r>
        <w:rPr>
          <w:rFonts w:hint="eastAsia" w:ascii="宋体" w:hAnsi="宋体"/>
          <w:b/>
          <w:bCs/>
          <w:kern w:val="0"/>
          <w:sz w:val="24"/>
          <w:szCs w:val="32"/>
          <w:highlight w:val="none"/>
        </w:rPr>
        <w:t>分配表</w:t>
      </w:r>
    </w:p>
    <w:tbl>
      <w:tblPr>
        <w:tblStyle w:val="15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DDA3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EAADAC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教学环节</w:t>
            </w:r>
          </w:p>
        </w:tc>
        <w:tc>
          <w:tcPr>
            <w:tcW w:w="2762" w:type="dxa"/>
          </w:tcPr>
          <w:p w14:paraId="2D6711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课程类别</w:t>
            </w:r>
          </w:p>
        </w:tc>
        <w:tc>
          <w:tcPr>
            <w:tcW w:w="1592" w:type="dxa"/>
          </w:tcPr>
          <w:p w14:paraId="55DA1A0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门数</w:t>
            </w:r>
          </w:p>
        </w:tc>
        <w:tc>
          <w:tcPr>
            <w:tcW w:w="1696" w:type="dxa"/>
          </w:tcPr>
          <w:p w14:paraId="77D1F70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学分</w:t>
            </w:r>
          </w:p>
        </w:tc>
      </w:tr>
      <w:tr w14:paraId="5A4FA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2115" w:type="dxa"/>
            <w:vMerge w:val="restart"/>
            <w:vAlign w:val="center"/>
          </w:tcPr>
          <w:p w14:paraId="089390EB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通识教育</w:t>
            </w:r>
          </w:p>
        </w:tc>
        <w:tc>
          <w:tcPr>
            <w:tcW w:w="2762" w:type="dxa"/>
          </w:tcPr>
          <w:p w14:paraId="5EED523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通识教育必修课</w:t>
            </w:r>
          </w:p>
        </w:tc>
        <w:tc>
          <w:tcPr>
            <w:tcW w:w="1592" w:type="dxa"/>
          </w:tcPr>
          <w:p w14:paraId="46811F3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696" w:type="dxa"/>
          </w:tcPr>
          <w:p w14:paraId="54BD3D8C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47</w:t>
            </w:r>
          </w:p>
        </w:tc>
      </w:tr>
      <w:tr w14:paraId="17849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D440D9D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762" w:type="dxa"/>
          </w:tcPr>
          <w:p w14:paraId="3A61A2C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通识教育选修课</w:t>
            </w:r>
          </w:p>
        </w:tc>
        <w:tc>
          <w:tcPr>
            <w:tcW w:w="1592" w:type="dxa"/>
          </w:tcPr>
          <w:p w14:paraId="4F6EA5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96" w:type="dxa"/>
          </w:tcPr>
          <w:p w14:paraId="4C9147F5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10</w:t>
            </w:r>
          </w:p>
        </w:tc>
      </w:tr>
      <w:tr w14:paraId="034E3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16D699E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专业教育</w:t>
            </w:r>
          </w:p>
        </w:tc>
        <w:tc>
          <w:tcPr>
            <w:tcW w:w="2762" w:type="dxa"/>
          </w:tcPr>
          <w:p w14:paraId="65FBDD39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专业必修课</w:t>
            </w:r>
          </w:p>
        </w:tc>
        <w:tc>
          <w:tcPr>
            <w:tcW w:w="1592" w:type="dxa"/>
          </w:tcPr>
          <w:p w14:paraId="6C2BBFB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696" w:type="dxa"/>
          </w:tcPr>
          <w:p w14:paraId="69CCCAD3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28</w:t>
            </w:r>
          </w:p>
        </w:tc>
      </w:tr>
      <w:tr w14:paraId="0A7655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0DF61F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2762" w:type="dxa"/>
          </w:tcPr>
          <w:p w14:paraId="1CC5C07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专业选修课</w:t>
            </w:r>
          </w:p>
        </w:tc>
        <w:tc>
          <w:tcPr>
            <w:tcW w:w="1592" w:type="dxa"/>
          </w:tcPr>
          <w:p w14:paraId="3F90ACF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96" w:type="dxa"/>
          </w:tcPr>
          <w:p w14:paraId="5B1F8568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27</w:t>
            </w:r>
          </w:p>
        </w:tc>
      </w:tr>
      <w:tr w14:paraId="049375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141DC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合计</w:t>
            </w:r>
          </w:p>
        </w:tc>
        <w:tc>
          <w:tcPr>
            <w:tcW w:w="2762" w:type="dxa"/>
          </w:tcPr>
          <w:p w14:paraId="237128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592" w:type="dxa"/>
          </w:tcPr>
          <w:p w14:paraId="17308BA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96" w:type="dxa"/>
          </w:tcPr>
          <w:p w14:paraId="02ACD0FA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  <w:lang w:val="en-US" w:eastAsia="zh-CN"/>
              </w:rPr>
              <w:t>112</w:t>
            </w:r>
            <w:bookmarkStart w:id="1" w:name="_GoBack"/>
            <w:bookmarkEnd w:id="1"/>
          </w:p>
        </w:tc>
      </w:tr>
    </w:tbl>
    <w:p w14:paraId="5EDF1985">
      <w:pPr>
        <w:pStyle w:val="37"/>
        <w:widowControl/>
        <w:numPr>
          <w:ilvl w:val="0"/>
          <w:numId w:val="0"/>
        </w:numPr>
        <w:spacing w:line="360" w:lineRule="auto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4C4AFC65">
      <w:pPr>
        <w:pStyle w:val="37"/>
        <w:widowControl/>
        <w:numPr>
          <w:ilvl w:val="0"/>
          <w:numId w:val="0"/>
        </w:numPr>
        <w:spacing w:line="360" w:lineRule="auto"/>
        <w:jc w:val="center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671BF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898D92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FC8DB9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F4EC0A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32D7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7CADC9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ADC952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OLE_LINK1" w:colFirst="3" w:colLast="3"/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E8E1C88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205376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E891A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9107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0649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48220F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5A2D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57838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37A043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4F604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39E95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254" w:type="dxa"/>
          </w:tcPr>
          <w:p w14:paraId="69F3E7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460AC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4094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254" w:type="dxa"/>
          </w:tcPr>
          <w:p w14:paraId="63DA5C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04E8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3BA3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578D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AD8AFD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31AAC07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BB3FA1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3B1ECA90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人工智能导论</w:t>
            </w:r>
          </w:p>
        </w:tc>
        <w:tc>
          <w:tcPr>
            <w:tcW w:w="1413" w:type="dxa"/>
            <w:shd w:val="clear" w:color="auto" w:fill="auto"/>
            <w:vAlign w:val="top"/>
          </w:tcPr>
          <w:p w14:paraId="1C5C0757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54" w:type="dxa"/>
            <w:shd w:val="clear" w:color="auto" w:fill="auto"/>
            <w:vAlign w:val="top"/>
          </w:tcPr>
          <w:p w14:paraId="38AAE789"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0.5</w:t>
            </w:r>
          </w:p>
        </w:tc>
      </w:tr>
      <w:tr w14:paraId="46F1C9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319AA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劳动类实践课程</w:t>
            </w:r>
          </w:p>
        </w:tc>
        <w:tc>
          <w:tcPr>
            <w:tcW w:w="1413" w:type="dxa"/>
          </w:tcPr>
          <w:p w14:paraId="036E6F6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 w14:paraId="470AB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0D733FA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</w:p>
        </w:tc>
        <w:tc>
          <w:tcPr>
            <w:tcW w:w="1254" w:type="dxa"/>
          </w:tcPr>
          <w:p w14:paraId="7961E37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7A0AF6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82365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思想道德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与法治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4AD1C58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1302B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F65B47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65617E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86219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E984FA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2A685B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D50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9B49D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</w:t>
            </w:r>
            <w:r>
              <w:rPr>
                <w:rFonts w:hint="eastAsia" w:ascii="宋体" w:hAnsi="宋体"/>
                <w:szCs w:val="21"/>
                <w:highlight w:val="none"/>
              </w:rPr>
              <w:t>社会实践</w:t>
            </w:r>
          </w:p>
        </w:tc>
        <w:tc>
          <w:tcPr>
            <w:tcW w:w="1413" w:type="dxa"/>
          </w:tcPr>
          <w:p w14:paraId="415DB5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97A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30F3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61100D2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  <w:highlight w:val="none"/>
              </w:rPr>
              <w:t>0.25</w:t>
            </w:r>
          </w:p>
        </w:tc>
      </w:tr>
      <w:tr w14:paraId="7066F6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E86AD8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5FDF63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（二）</w:t>
            </w:r>
          </w:p>
        </w:tc>
        <w:tc>
          <w:tcPr>
            <w:tcW w:w="1413" w:type="dxa"/>
            <w:vAlign w:val="top"/>
          </w:tcPr>
          <w:p w14:paraId="009BEC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2</w:t>
            </w:r>
          </w:p>
        </w:tc>
        <w:tc>
          <w:tcPr>
            <w:tcW w:w="1254" w:type="dxa"/>
            <w:vAlign w:val="top"/>
          </w:tcPr>
          <w:p w14:paraId="1F1857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4DAE2A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AAC990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6FEE8B7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（五）</w:t>
            </w:r>
          </w:p>
        </w:tc>
        <w:tc>
          <w:tcPr>
            <w:tcW w:w="1413" w:type="dxa"/>
            <w:vAlign w:val="top"/>
          </w:tcPr>
          <w:p w14:paraId="13AEB7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5</w:t>
            </w:r>
          </w:p>
        </w:tc>
        <w:tc>
          <w:tcPr>
            <w:tcW w:w="1254" w:type="dxa"/>
            <w:vAlign w:val="top"/>
          </w:tcPr>
          <w:p w14:paraId="42FB45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60D327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D716A1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7BCF6A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形势</w:t>
            </w:r>
            <w:r>
              <w:rPr>
                <w:rFonts w:ascii="宋体" w:hAnsi="宋体"/>
                <w:szCs w:val="21"/>
                <w:highlight w:val="none"/>
              </w:rPr>
              <w:t>与政策</w:t>
            </w:r>
            <w:r>
              <w:rPr>
                <w:rFonts w:hint="eastAsia" w:ascii="宋体" w:hAnsi="宋体"/>
                <w:szCs w:val="21"/>
                <w:highlight w:val="none"/>
              </w:rPr>
              <w:t>（六）</w:t>
            </w:r>
          </w:p>
        </w:tc>
        <w:tc>
          <w:tcPr>
            <w:tcW w:w="1413" w:type="dxa"/>
            <w:vAlign w:val="top"/>
          </w:tcPr>
          <w:p w14:paraId="289B39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6</w:t>
            </w:r>
          </w:p>
        </w:tc>
        <w:tc>
          <w:tcPr>
            <w:tcW w:w="1254" w:type="dxa"/>
            <w:vAlign w:val="top"/>
          </w:tcPr>
          <w:p w14:paraId="1171C1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none"/>
              </w:rPr>
              <w:t>0</w:t>
            </w:r>
            <w:r>
              <w:rPr>
                <w:szCs w:val="21"/>
                <w:highlight w:val="none"/>
              </w:rPr>
              <w:t>.25</w:t>
            </w:r>
          </w:p>
        </w:tc>
      </w:tr>
      <w:tr w14:paraId="67E3741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2D8EC9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top"/>
          </w:tcPr>
          <w:p w14:paraId="38E8FC3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大学生心理健康实践课</w:t>
            </w:r>
          </w:p>
        </w:tc>
        <w:tc>
          <w:tcPr>
            <w:tcW w:w="1413" w:type="dxa"/>
            <w:vAlign w:val="top"/>
          </w:tcPr>
          <w:p w14:paraId="595BF5D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54" w:type="dxa"/>
            <w:vAlign w:val="top"/>
          </w:tcPr>
          <w:p w14:paraId="2E1911C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4D17C9D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3C2E09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2277E0D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马克思主义新闻观</w:t>
            </w:r>
          </w:p>
        </w:tc>
        <w:tc>
          <w:tcPr>
            <w:tcW w:w="1413" w:type="dxa"/>
          </w:tcPr>
          <w:p w14:paraId="2FF82290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19BD3A2E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DA66DC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48CECF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5773B7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</w:t>
            </w:r>
            <w:r>
              <w:rPr>
                <w:rFonts w:ascii="宋体" w:hAnsi="宋体"/>
                <w:szCs w:val="21"/>
              </w:rPr>
              <w:t>概论</w:t>
            </w:r>
          </w:p>
        </w:tc>
        <w:tc>
          <w:tcPr>
            <w:tcW w:w="1413" w:type="dxa"/>
          </w:tcPr>
          <w:p w14:paraId="1E11C3D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2072F1E0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2794E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DF5C58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41A46DDE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传播学研究方法</w:t>
            </w:r>
          </w:p>
        </w:tc>
        <w:tc>
          <w:tcPr>
            <w:tcW w:w="1413" w:type="dxa"/>
          </w:tcPr>
          <w:p w14:paraId="203368A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5A84F09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233E4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42B2E3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3CE18BA8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影视编导</w:t>
            </w:r>
          </w:p>
        </w:tc>
        <w:tc>
          <w:tcPr>
            <w:tcW w:w="1413" w:type="dxa"/>
          </w:tcPr>
          <w:p w14:paraId="12999890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1BF6E0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D8D482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DDEA74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76774277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媒介策划与运营实务</w:t>
            </w:r>
          </w:p>
        </w:tc>
        <w:tc>
          <w:tcPr>
            <w:tcW w:w="1413" w:type="dxa"/>
          </w:tcPr>
          <w:p w14:paraId="24D44F30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4F8F3D7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</w:tr>
      <w:tr w14:paraId="25D9E7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4FED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693FC321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数字多媒体制作</w:t>
            </w:r>
          </w:p>
        </w:tc>
        <w:tc>
          <w:tcPr>
            <w:tcW w:w="1413" w:type="dxa"/>
          </w:tcPr>
          <w:p w14:paraId="19A69A9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1FA3B5D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60373E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4F1A57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042E8BC9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szCs w:val="21"/>
              </w:rPr>
              <w:t>新闻采访与写作</w:t>
            </w:r>
          </w:p>
        </w:tc>
        <w:tc>
          <w:tcPr>
            <w:tcW w:w="1413" w:type="dxa"/>
          </w:tcPr>
          <w:p w14:paraId="69158DF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47CA9F31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F0B109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D7110D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3B99A90C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音频节目赏析与制作</w:t>
            </w:r>
          </w:p>
        </w:tc>
        <w:tc>
          <w:tcPr>
            <w:tcW w:w="1413" w:type="dxa"/>
          </w:tcPr>
          <w:p w14:paraId="04E15E2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30F2889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B0B73D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81BBE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0B03A9C1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融媒体编辑</w:t>
            </w:r>
          </w:p>
        </w:tc>
        <w:tc>
          <w:tcPr>
            <w:tcW w:w="1413" w:type="dxa"/>
          </w:tcPr>
          <w:p w14:paraId="0E4E1CD9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558C43A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8E6B84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13C144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832D8A5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演讲与修辞</w:t>
            </w:r>
          </w:p>
        </w:tc>
        <w:tc>
          <w:tcPr>
            <w:tcW w:w="1413" w:type="dxa"/>
          </w:tcPr>
          <w:p w14:paraId="7B2F06F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379E8EC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8D96EE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EC93B7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06C7D6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音乐编导</w:t>
            </w:r>
          </w:p>
        </w:tc>
        <w:tc>
          <w:tcPr>
            <w:tcW w:w="1413" w:type="dxa"/>
          </w:tcPr>
          <w:p w14:paraId="5C22C13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41F1C2F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39D99B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4084EE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2491BA1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智能媒体传播</w:t>
            </w:r>
          </w:p>
        </w:tc>
        <w:tc>
          <w:tcPr>
            <w:tcW w:w="1413" w:type="dxa"/>
          </w:tcPr>
          <w:p w14:paraId="3766641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02BD365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E709C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356AD5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  <w:vAlign w:val="top"/>
          </w:tcPr>
          <w:p w14:paraId="7EA74654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  <w:t>人际传播学</w:t>
            </w:r>
          </w:p>
        </w:tc>
        <w:tc>
          <w:tcPr>
            <w:tcW w:w="1413" w:type="dxa"/>
          </w:tcPr>
          <w:p w14:paraId="13A98A29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01CAACD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600BF0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41ABE7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E3C7684">
            <w:pPr>
              <w:adjustRightInd w:val="0"/>
              <w:snapToGrid w:val="0"/>
              <w:spacing w:line="360" w:lineRule="exact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数智</w:t>
            </w:r>
            <w:r>
              <w:rPr>
                <w:rFonts w:hint="eastAsia" w:ascii="宋体" w:hAnsi="宋体"/>
                <w:szCs w:val="21"/>
              </w:rPr>
              <w:t>媒体运营</w:t>
            </w:r>
          </w:p>
        </w:tc>
        <w:tc>
          <w:tcPr>
            <w:tcW w:w="1413" w:type="dxa"/>
          </w:tcPr>
          <w:p w14:paraId="1B2DE62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175A01B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E4C007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C2EF03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D2D59D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传播学经典文献选读（英语）</w:t>
            </w:r>
          </w:p>
        </w:tc>
        <w:tc>
          <w:tcPr>
            <w:tcW w:w="1413" w:type="dxa"/>
          </w:tcPr>
          <w:p w14:paraId="5330984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63A6DA9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4C854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3167DA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7F3FB0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数据新闻报道</w:t>
            </w:r>
          </w:p>
        </w:tc>
        <w:tc>
          <w:tcPr>
            <w:tcW w:w="1413" w:type="dxa"/>
          </w:tcPr>
          <w:p w14:paraId="5F73C78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27FC3EDB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1814F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AF68F9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0406C8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新传综合工作坊</w:t>
            </w:r>
          </w:p>
        </w:tc>
        <w:tc>
          <w:tcPr>
            <w:tcW w:w="1413" w:type="dxa"/>
          </w:tcPr>
          <w:p w14:paraId="39ADA34D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EAAE3E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546689E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B5925D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683B7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学术规范与论文写作</w:t>
            </w:r>
          </w:p>
        </w:tc>
        <w:tc>
          <w:tcPr>
            <w:tcW w:w="1413" w:type="dxa"/>
          </w:tcPr>
          <w:p w14:paraId="76859299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78E1090B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bookmarkEnd w:id="0"/>
      <w:tr w14:paraId="38ED3E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7743260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highlight w:val="none"/>
                <w:lang w:val="en-US" w:eastAsia="zh-CN"/>
              </w:rPr>
              <w:t>45.5</w:t>
            </w:r>
          </w:p>
        </w:tc>
      </w:tr>
    </w:tbl>
    <w:p w14:paraId="251E74E4">
      <w:pPr>
        <w:spacing w:line="560" w:lineRule="exact"/>
        <w:jc w:val="left"/>
        <w:rPr>
          <w:rFonts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9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9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10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yYjJiODUwMjQxMGI3OWU5ODY0NTY2MjMzODI0Y2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0557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2006F5"/>
    <w:rsid w:val="074B1659"/>
    <w:rsid w:val="077F7786"/>
    <w:rsid w:val="07B23486"/>
    <w:rsid w:val="07C5765D"/>
    <w:rsid w:val="07CE75A3"/>
    <w:rsid w:val="07FD7285"/>
    <w:rsid w:val="08122176"/>
    <w:rsid w:val="084238C2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DA7DF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75758F"/>
    <w:rsid w:val="0E8B7EF6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544C5F"/>
    <w:rsid w:val="10B90CBB"/>
    <w:rsid w:val="10C13081"/>
    <w:rsid w:val="11092177"/>
    <w:rsid w:val="11166833"/>
    <w:rsid w:val="113D2012"/>
    <w:rsid w:val="114A0BD3"/>
    <w:rsid w:val="11551A52"/>
    <w:rsid w:val="116F1AFD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3C55968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4180B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692B6E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630F6D"/>
    <w:rsid w:val="2996177C"/>
    <w:rsid w:val="29EB48A9"/>
    <w:rsid w:val="2A002DCA"/>
    <w:rsid w:val="2A145F39"/>
    <w:rsid w:val="2A763BA1"/>
    <w:rsid w:val="2AB17075"/>
    <w:rsid w:val="2ACE0103"/>
    <w:rsid w:val="2ADF29B1"/>
    <w:rsid w:val="2B163BA8"/>
    <w:rsid w:val="2B2A1401"/>
    <w:rsid w:val="2B711D54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103922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3D69B8"/>
    <w:rsid w:val="31457C05"/>
    <w:rsid w:val="317A07B3"/>
    <w:rsid w:val="31AD30D5"/>
    <w:rsid w:val="31EF0157"/>
    <w:rsid w:val="322B7C74"/>
    <w:rsid w:val="32566F80"/>
    <w:rsid w:val="32904240"/>
    <w:rsid w:val="32A47CEB"/>
    <w:rsid w:val="32A70BF1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131AE0"/>
    <w:rsid w:val="3714010F"/>
    <w:rsid w:val="37A67A11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116FC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41C65"/>
    <w:rsid w:val="457D2136"/>
    <w:rsid w:val="459C0CF6"/>
    <w:rsid w:val="45CC3389"/>
    <w:rsid w:val="461A0599"/>
    <w:rsid w:val="462A7EAE"/>
    <w:rsid w:val="467775BD"/>
    <w:rsid w:val="46B1257F"/>
    <w:rsid w:val="46FF32EA"/>
    <w:rsid w:val="47750AE1"/>
    <w:rsid w:val="477A0BC3"/>
    <w:rsid w:val="477F61D9"/>
    <w:rsid w:val="47835663"/>
    <w:rsid w:val="47A81BD4"/>
    <w:rsid w:val="47BC11DC"/>
    <w:rsid w:val="489932CB"/>
    <w:rsid w:val="489C64B8"/>
    <w:rsid w:val="48BB76E5"/>
    <w:rsid w:val="48D8372E"/>
    <w:rsid w:val="497C50C6"/>
    <w:rsid w:val="49A339A6"/>
    <w:rsid w:val="49EC759E"/>
    <w:rsid w:val="49FD216C"/>
    <w:rsid w:val="4A11732F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291E8F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5071AF"/>
    <w:rsid w:val="4F52203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AC5344"/>
    <w:rsid w:val="55B54224"/>
    <w:rsid w:val="55D829CA"/>
    <w:rsid w:val="560C332E"/>
    <w:rsid w:val="56101070"/>
    <w:rsid w:val="56186177"/>
    <w:rsid w:val="565C2507"/>
    <w:rsid w:val="566964A9"/>
    <w:rsid w:val="56933A4F"/>
    <w:rsid w:val="56CF5CFB"/>
    <w:rsid w:val="56DF6C95"/>
    <w:rsid w:val="571B5F1F"/>
    <w:rsid w:val="57233025"/>
    <w:rsid w:val="572B2E52"/>
    <w:rsid w:val="572E0415"/>
    <w:rsid w:val="573A63E5"/>
    <w:rsid w:val="573E39BB"/>
    <w:rsid w:val="575C534A"/>
    <w:rsid w:val="576F626A"/>
    <w:rsid w:val="58573625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9AC7E08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CC62866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24B6AD5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3F2F9F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95076A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5E0131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5536AD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8E75448"/>
    <w:rsid w:val="79203009"/>
    <w:rsid w:val="79425135"/>
    <w:rsid w:val="79A47B9E"/>
    <w:rsid w:val="79F90DA0"/>
    <w:rsid w:val="79FD2E0A"/>
    <w:rsid w:val="7A17211E"/>
    <w:rsid w:val="7A320D06"/>
    <w:rsid w:val="7A347ABE"/>
    <w:rsid w:val="7A48677B"/>
    <w:rsid w:val="7AA142D5"/>
    <w:rsid w:val="7AD4000F"/>
    <w:rsid w:val="7AE73C81"/>
    <w:rsid w:val="7B230514"/>
    <w:rsid w:val="7C4F3DF1"/>
    <w:rsid w:val="7C8E1C24"/>
    <w:rsid w:val="7C9B5288"/>
    <w:rsid w:val="7CBD0BAF"/>
    <w:rsid w:val="7CD460A4"/>
    <w:rsid w:val="7CF95B0B"/>
    <w:rsid w:val="7D12737F"/>
    <w:rsid w:val="7D1312C2"/>
    <w:rsid w:val="7D19020A"/>
    <w:rsid w:val="7D1D4E05"/>
    <w:rsid w:val="7D407BDD"/>
    <w:rsid w:val="7D973CF2"/>
    <w:rsid w:val="7D9D046F"/>
    <w:rsid w:val="7D9E76C9"/>
    <w:rsid w:val="7DB11D69"/>
    <w:rsid w:val="7DB36601"/>
    <w:rsid w:val="7DCF47B1"/>
    <w:rsid w:val="7DF54524"/>
    <w:rsid w:val="7E0B1F99"/>
    <w:rsid w:val="7E402128"/>
    <w:rsid w:val="7EB1385F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2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3"/>
    <w:semiHidden/>
    <w:qFormat/>
    <w:uiPriority w:val="99"/>
    <w:pPr>
      <w:jc w:val="left"/>
    </w:pPr>
    <w:rPr>
      <w:szCs w:val="21"/>
      <w:lang w:val="zh-CN"/>
    </w:rPr>
  </w:style>
  <w:style w:type="paragraph" w:styleId="6">
    <w:name w:val="Body Text Indent"/>
    <w:basedOn w:val="1"/>
    <w:link w:val="99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7">
    <w:name w:val="Body Text Indent 2"/>
    <w:basedOn w:val="1"/>
    <w:link w:val="30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8">
    <w:name w:val="Balloon Text"/>
    <w:basedOn w:val="1"/>
    <w:link w:val="34"/>
    <w:semiHidden/>
    <w:qFormat/>
    <w:uiPriority w:val="99"/>
    <w:rPr>
      <w:sz w:val="18"/>
      <w:szCs w:val="18"/>
      <w:lang w:val="zh-CN"/>
    </w:rPr>
  </w:style>
  <w:style w:type="paragraph" w:styleId="9">
    <w:name w:val="footer"/>
    <w:basedOn w:val="1"/>
    <w:link w:val="2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0">
    <w:name w:val="header"/>
    <w:basedOn w:val="1"/>
    <w:link w:val="2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1">
    <w:name w:val="footnote text"/>
    <w:basedOn w:val="1"/>
    <w:link w:val="100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2">
    <w:name w:val="HTML Preformatted"/>
    <w:basedOn w:val="1"/>
    <w:link w:val="26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4">
    <w:name w:val="annotation subject"/>
    <w:basedOn w:val="5"/>
    <w:next w:val="5"/>
    <w:link w:val="36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page number"/>
    <w:qFormat/>
    <w:uiPriority w:val="0"/>
    <w:rPr>
      <w:rFonts w:cs="Times New Roman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paragraph" w:customStyle="1" w:styleId="23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character" w:customStyle="1" w:styleId="24">
    <w:name w:val="Header Char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Footer Char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6">
    <w:name w:val="HTML Preformatted Char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27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8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9">
    <w:name w:val="html_txt1"/>
    <w:qFormat/>
    <w:uiPriority w:val="0"/>
    <w:rPr>
      <w:color w:val="000000"/>
    </w:rPr>
  </w:style>
  <w:style w:type="character" w:customStyle="1" w:styleId="30">
    <w:name w:val="Body Text Indent 2 Char"/>
    <w:link w:val="7"/>
    <w:qFormat/>
    <w:uiPriority w:val="0"/>
    <w:rPr>
      <w:rFonts w:ascii="Times New Roman" w:hAnsi="Times New Roman"/>
      <w:kern w:val="2"/>
      <w:sz w:val="28"/>
    </w:rPr>
  </w:style>
  <w:style w:type="character" w:customStyle="1" w:styleId="31">
    <w:name w:val="Heading 1 Char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2">
    <w:name w:val="Heading 2 Char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3">
    <w:name w:val="Comment Text Char"/>
    <w:link w:val="5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4">
    <w:name w:val="Balloon Text Char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5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6">
    <w:name w:val="Comment Subject Char"/>
    <w:link w:val="14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7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8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9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5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6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7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8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9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50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51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2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3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4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6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8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2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3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4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5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6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7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8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9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71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2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8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9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1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2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7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9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2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3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5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6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7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8">
    <w:name w:val="long_text1"/>
    <w:qFormat/>
    <w:uiPriority w:val="99"/>
    <w:rPr>
      <w:rFonts w:cs="Times New Roman"/>
      <w:sz w:val="20"/>
      <w:szCs w:val="20"/>
    </w:rPr>
  </w:style>
  <w:style w:type="character" w:customStyle="1" w:styleId="99">
    <w:name w:val="Body Text Indent Char"/>
    <w:link w:val="6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100">
    <w:name w:val="Footnote Text Char"/>
    <w:link w:val="11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1">
    <w:name w:val="_Style 3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3014</Words>
  <Characters>3118</Characters>
  <Lines>100</Lines>
  <Paragraphs>28</Paragraphs>
  <TotalTime>7</TotalTime>
  <ScaleCrop>false</ScaleCrop>
  <LinksUpToDate>false</LinksUpToDate>
  <CharactersWithSpaces>3132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嘿</cp:lastModifiedBy>
  <cp:lastPrinted>2024-11-20T08:55:00Z</cp:lastPrinted>
  <dcterms:modified xsi:type="dcterms:W3CDTF">2025-04-21T07:59:03Z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EBCD2BAE246047359AB5B09BCE920C53_13</vt:lpwstr>
  </property>
  <property fmtid="{D5CDD505-2E9C-101B-9397-08002B2CF9AE}" pid="4" name="KSOTemplateDocerSaveRecord">
    <vt:lpwstr>eyJoZGlkIjoiMTZhYWI0YmQyNWIyODg1YmM3YWYzODYwMGExMGIyYzYiLCJ1c2VySWQiOiIzMTkxMjQwNzgifQ==</vt:lpwstr>
  </property>
</Properties>
</file>