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6450D5">
      <w:pPr>
        <w:widowControl/>
        <w:spacing w:line="560" w:lineRule="exact"/>
        <w:jc w:val="left"/>
        <w:rPr>
          <w:rFonts w:ascii="仿宋_GB2312" w:eastAsia="仿宋_GB2312"/>
          <w:sz w:val="32"/>
          <w:szCs w:val="32"/>
        </w:rPr>
      </w:pPr>
      <w:r>
        <w:rPr>
          <w:rFonts w:hint="eastAsia" w:ascii="黑体" w:hAnsi="黑体" w:eastAsia="黑体"/>
          <w:sz w:val="32"/>
          <w:szCs w:val="32"/>
        </w:rPr>
        <w:t>附件一</w:t>
      </w:r>
    </w:p>
    <w:p w14:paraId="2001F121">
      <w:pPr>
        <w:jc w:val="center"/>
        <w:rPr>
          <w:rFonts w:eastAsia="黑体"/>
          <w:bCs/>
          <w:sz w:val="36"/>
          <w:szCs w:val="36"/>
        </w:rPr>
      </w:pPr>
      <w:r>
        <w:rPr>
          <w:rFonts w:hint="eastAsia" w:eastAsia="黑体"/>
          <w:bCs/>
          <w:sz w:val="36"/>
          <w:szCs w:val="36"/>
        </w:rPr>
        <w:t>经济统计</w:t>
      </w:r>
      <w:r>
        <w:rPr>
          <w:rFonts w:eastAsia="黑体"/>
          <w:bCs/>
          <w:sz w:val="36"/>
          <w:szCs w:val="36"/>
        </w:rPr>
        <w:t>专业</w:t>
      </w:r>
      <w:r>
        <w:rPr>
          <w:rFonts w:hint="eastAsia" w:eastAsia="黑体"/>
          <w:bCs/>
          <w:sz w:val="36"/>
          <w:szCs w:val="36"/>
        </w:rPr>
        <w:t>学分制本科人才</w:t>
      </w:r>
      <w:r>
        <w:rPr>
          <w:rFonts w:eastAsia="黑体"/>
          <w:bCs/>
          <w:sz w:val="36"/>
          <w:szCs w:val="36"/>
        </w:rPr>
        <w:t>培养方案</w:t>
      </w:r>
    </w:p>
    <w:p w14:paraId="4625959F">
      <w:pPr>
        <w:jc w:val="center"/>
        <w:rPr>
          <w:rFonts w:eastAsia="黑体"/>
          <w:bCs/>
          <w:sz w:val="36"/>
          <w:szCs w:val="36"/>
        </w:rPr>
      </w:pPr>
      <w:r>
        <w:rPr>
          <w:rFonts w:hint="eastAsia" w:eastAsia="黑体"/>
          <w:bCs/>
          <w:sz w:val="36"/>
          <w:szCs w:val="36"/>
        </w:rPr>
        <w:t>（专业代码：020102）</w:t>
      </w:r>
    </w:p>
    <w:p w14:paraId="578570AF">
      <w:pPr>
        <w:adjustRightInd w:val="0"/>
        <w:snapToGrid w:val="0"/>
        <w:spacing w:before="120" w:beforeLines="50" w:line="480" w:lineRule="exact"/>
        <w:ind w:firstLine="560" w:firstLineChars="200"/>
        <w:rPr>
          <w:rFonts w:eastAsia="黑体"/>
          <w:sz w:val="28"/>
          <w:szCs w:val="28"/>
        </w:rPr>
      </w:pPr>
      <w:r>
        <w:rPr>
          <w:rFonts w:eastAsia="黑体"/>
          <w:sz w:val="28"/>
          <w:szCs w:val="28"/>
        </w:rPr>
        <w:t>一、专业介绍</w:t>
      </w:r>
    </w:p>
    <w:p w14:paraId="77133791">
      <w:pPr>
        <w:adjustRightInd w:val="0"/>
        <w:snapToGrid w:val="0"/>
        <w:spacing w:line="480" w:lineRule="exact"/>
        <w:ind w:firstLine="480" w:firstLineChars="200"/>
        <w:rPr>
          <w:rFonts w:eastAsiaTheme="minorEastAsia"/>
          <w:sz w:val="24"/>
        </w:rPr>
      </w:pPr>
      <w:r>
        <w:rPr>
          <w:rFonts w:hint="eastAsia" w:eastAsiaTheme="minorEastAsia"/>
          <w:sz w:val="24"/>
        </w:rPr>
        <w:t>首都经济贸易大学经济统计学专业始建于1962年，前身为北京经济学院统计学专业和北京财贸学院电子计算机统计专业。经过多年发展，本专业于1984年开始招收硕士生，1998年招收博士生，2010-2012年，先后成为首批应用统计硕士点、一级学科博士点、博士后流动站和北京市一级重点学科。本专业先后获批北京市品牌专业、国家级特色专业、北京市一级重点学科和北京市高精尖学科，2022年获批国家级一流本科专业建设点，2024年获批首都经济贸易大学首批数智化转型试点专业。</w:t>
      </w:r>
    </w:p>
    <w:p w14:paraId="04DC2A20">
      <w:pPr>
        <w:adjustRightInd w:val="0"/>
        <w:snapToGrid w:val="0"/>
        <w:spacing w:line="480" w:lineRule="exact"/>
        <w:ind w:firstLine="480" w:firstLineChars="200"/>
        <w:rPr>
          <w:rFonts w:eastAsiaTheme="minorEastAsia"/>
          <w:sz w:val="24"/>
        </w:rPr>
      </w:pPr>
      <w:r>
        <w:rPr>
          <w:rFonts w:eastAsiaTheme="minorEastAsia"/>
          <w:sz w:val="24"/>
        </w:rPr>
        <w:t>本专业依托统计学院经济统计系，拥有一支结构合理、年轻化的师资队伍。现有专任教师18人，其中教授1人，副教授11人，教学科研实力雄厚。本专业注重学术科研与实践相结合，培养特色鲜明，强调数据分析与经济管理的融合。毕业生就业去向广泛，涵盖政府、金融、企业等多个领域。</w:t>
      </w:r>
      <w:r>
        <w:rPr>
          <w:rFonts w:hint="eastAsia" w:eastAsiaTheme="minorEastAsia"/>
          <w:sz w:val="24"/>
        </w:rPr>
        <w:t>注重</w:t>
      </w:r>
      <w:r>
        <w:rPr>
          <w:rFonts w:eastAsiaTheme="minorEastAsia"/>
          <w:sz w:val="24"/>
        </w:rPr>
        <w:t>国际交流</w:t>
      </w:r>
      <w:r>
        <w:rPr>
          <w:rFonts w:hint="eastAsia" w:eastAsiaTheme="minorEastAsia"/>
          <w:sz w:val="24"/>
        </w:rPr>
        <w:t>与合作</w:t>
      </w:r>
      <w:r>
        <w:rPr>
          <w:rFonts w:eastAsiaTheme="minorEastAsia"/>
          <w:sz w:val="24"/>
        </w:rPr>
        <w:t>，</w:t>
      </w:r>
      <w:r>
        <w:rPr>
          <w:rFonts w:hint="eastAsia" w:eastAsiaTheme="minorEastAsia"/>
          <w:sz w:val="24"/>
        </w:rPr>
        <w:t>培养</w:t>
      </w:r>
      <w:r>
        <w:rPr>
          <w:rFonts w:eastAsiaTheme="minorEastAsia"/>
          <w:sz w:val="24"/>
        </w:rPr>
        <w:t>学生</w:t>
      </w:r>
      <w:r>
        <w:rPr>
          <w:rFonts w:hint="eastAsia" w:eastAsiaTheme="minorEastAsia"/>
          <w:sz w:val="24"/>
        </w:rPr>
        <w:t>具备</w:t>
      </w:r>
      <w:r>
        <w:rPr>
          <w:rFonts w:eastAsiaTheme="minorEastAsia"/>
          <w:sz w:val="24"/>
        </w:rPr>
        <w:t>国际化视野。</w:t>
      </w:r>
      <w:r>
        <w:rPr>
          <w:rFonts w:hint="eastAsia" w:eastAsiaTheme="minorEastAsia"/>
          <w:sz w:val="24"/>
        </w:rPr>
        <w:t>本专业</w:t>
      </w:r>
      <w:r>
        <w:rPr>
          <w:rFonts w:eastAsiaTheme="minorEastAsia"/>
          <w:sz w:val="24"/>
        </w:rPr>
        <w:t>社会评价和声誉良好，至今已培养50多届毕业生，共计3000多名，许多毕业生成为各级领导、专家学者或业务骨干，在社会各界具有重要影响力。</w:t>
      </w:r>
    </w:p>
    <w:p w14:paraId="0EEB7D47">
      <w:pPr>
        <w:adjustRightInd w:val="0"/>
        <w:snapToGrid w:val="0"/>
        <w:spacing w:before="120" w:beforeLines="50" w:line="480" w:lineRule="exact"/>
        <w:ind w:firstLine="560" w:firstLineChars="200"/>
        <w:rPr>
          <w:rFonts w:eastAsia="黑体"/>
          <w:sz w:val="28"/>
          <w:szCs w:val="28"/>
        </w:rPr>
      </w:pPr>
      <w:r>
        <w:rPr>
          <w:rFonts w:eastAsia="黑体"/>
          <w:sz w:val="28"/>
          <w:szCs w:val="28"/>
        </w:rPr>
        <w:t>二、培养目标</w:t>
      </w:r>
    </w:p>
    <w:p w14:paraId="6C5FC3DB">
      <w:pPr>
        <w:adjustRightInd w:val="0"/>
        <w:snapToGrid w:val="0"/>
        <w:spacing w:line="480" w:lineRule="exact"/>
        <w:ind w:firstLine="480" w:firstLineChars="200"/>
        <w:rPr>
          <w:rFonts w:eastAsiaTheme="minorEastAsia"/>
          <w:sz w:val="24"/>
        </w:rPr>
      </w:pPr>
      <w:r>
        <w:rPr>
          <w:rFonts w:eastAsiaTheme="minorEastAsia"/>
          <w:sz w:val="24"/>
        </w:rPr>
        <w:t>本专业</w:t>
      </w:r>
      <w:r>
        <w:rPr>
          <w:rFonts w:hint="eastAsia" w:eastAsiaTheme="minorEastAsia"/>
          <w:sz w:val="24"/>
        </w:rPr>
        <w:t>旨在</w:t>
      </w:r>
      <w:r>
        <w:rPr>
          <w:rFonts w:eastAsiaTheme="minorEastAsia"/>
          <w:sz w:val="24"/>
        </w:rPr>
        <w:t>培养</w:t>
      </w:r>
      <w:r>
        <w:rPr>
          <w:rFonts w:hint="eastAsia" w:eastAsiaTheme="minorEastAsia"/>
          <w:sz w:val="24"/>
        </w:rPr>
        <w:t>具有正确的</w:t>
      </w:r>
      <w:r>
        <w:rPr>
          <w:rFonts w:eastAsiaTheme="minorEastAsia"/>
          <w:sz w:val="24"/>
        </w:rPr>
        <w:t>社会主义核心价值观、适应</w:t>
      </w:r>
      <w:r>
        <w:rPr>
          <w:rFonts w:hint="eastAsia" w:eastAsiaTheme="minorEastAsia"/>
          <w:sz w:val="24"/>
        </w:rPr>
        <w:t>新质生产力</w:t>
      </w:r>
      <w:r>
        <w:rPr>
          <w:rFonts w:eastAsiaTheme="minorEastAsia"/>
          <w:sz w:val="24"/>
        </w:rPr>
        <w:t>发展与首都建设需求的</w:t>
      </w:r>
      <w:r>
        <w:rPr>
          <w:rFonts w:hint="eastAsia" w:eastAsiaTheme="minorEastAsia"/>
          <w:sz w:val="24"/>
        </w:rPr>
        <w:t>经济</w:t>
      </w:r>
      <w:r>
        <w:rPr>
          <w:rFonts w:eastAsiaTheme="minorEastAsia"/>
          <w:sz w:val="24"/>
        </w:rPr>
        <w:t>统计分析人才。学生将通过全面</w:t>
      </w:r>
      <w:r>
        <w:rPr>
          <w:rFonts w:hint="eastAsia" w:eastAsiaTheme="minorEastAsia"/>
          <w:sz w:val="24"/>
        </w:rPr>
        <w:t>系统</w:t>
      </w:r>
      <w:r>
        <w:rPr>
          <w:rFonts w:eastAsiaTheme="minorEastAsia"/>
          <w:sz w:val="24"/>
        </w:rPr>
        <w:t>学习，奠定坚实的数学与经济学基础，深入掌握统计学理论与经济分析方法，并熟练掌握数据分析技术和统计软件，具备高效处理、分析及解读数据的能力。本专业着重提升学生的数智素养与实践操作能力，拓宽其国际视野，并强化其历史使命感与社会责任感，旨在</w:t>
      </w:r>
      <w:r>
        <w:rPr>
          <w:rFonts w:hint="eastAsia" w:eastAsiaTheme="minorEastAsia"/>
          <w:sz w:val="24"/>
        </w:rPr>
        <w:t>培养</w:t>
      </w:r>
      <w:r>
        <w:rPr>
          <w:rFonts w:eastAsiaTheme="minorEastAsia"/>
          <w:sz w:val="24"/>
        </w:rPr>
        <w:t>一批能够在经济管理领域胜任复杂数据分析工作的创新型、复合型、应用型、国际化人才。</w:t>
      </w:r>
    </w:p>
    <w:p w14:paraId="1503DE66">
      <w:pPr>
        <w:adjustRightInd w:val="0"/>
        <w:snapToGrid w:val="0"/>
        <w:spacing w:line="480" w:lineRule="exact"/>
        <w:ind w:firstLine="480" w:firstLineChars="200"/>
        <w:rPr>
          <w:rFonts w:eastAsiaTheme="minorEastAsia"/>
          <w:sz w:val="24"/>
        </w:rPr>
      </w:pPr>
      <w:r>
        <w:rPr>
          <w:rFonts w:hint="eastAsia" w:eastAsiaTheme="minorEastAsia"/>
          <w:sz w:val="24"/>
        </w:rPr>
        <w:t>具体目标如下：</w:t>
      </w:r>
    </w:p>
    <w:p w14:paraId="0E5EC8E0">
      <w:pPr>
        <w:adjustRightInd w:val="0"/>
        <w:snapToGrid w:val="0"/>
        <w:spacing w:line="480" w:lineRule="exact"/>
        <w:ind w:firstLine="480" w:firstLineChars="200"/>
        <w:rPr>
          <w:rFonts w:eastAsiaTheme="minorEastAsia"/>
          <w:sz w:val="24"/>
        </w:rPr>
      </w:pPr>
      <w:r>
        <w:rPr>
          <w:rFonts w:eastAsiaTheme="minorEastAsia"/>
          <w:sz w:val="24"/>
        </w:rPr>
        <w:t>目标1：行业与职业定位</w:t>
      </w:r>
      <w:r>
        <w:rPr>
          <w:rFonts w:hint="eastAsia" w:eastAsiaTheme="minorEastAsia"/>
          <w:sz w:val="24"/>
        </w:rPr>
        <w:t>。</w:t>
      </w:r>
      <w:r>
        <w:rPr>
          <w:rFonts w:eastAsiaTheme="minorEastAsia"/>
          <w:sz w:val="24"/>
        </w:rPr>
        <w:t>旨在培养学生成为适应经济、金融、企业管理等多个行业需求的统计分析专家。学生</w:t>
      </w:r>
      <w:r>
        <w:rPr>
          <w:rFonts w:hint="eastAsia" w:eastAsiaTheme="minorEastAsia"/>
          <w:sz w:val="24"/>
        </w:rPr>
        <w:t>能够</w:t>
      </w:r>
      <w:r>
        <w:rPr>
          <w:rFonts w:eastAsiaTheme="minorEastAsia"/>
          <w:sz w:val="24"/>
        </w:rPr>
        <w:t>理解各行业的数据特点，掌握行业分析</w:t>
      </w:r>
      <w:r>
        <w:rPr>
          <w:rFonts w:hint="eastAsia" w:eastAsiaTheme="minorEastAsia"/>
          <w:sz w:val="24"/>
        </w:rPr>
        <w:t>的</w:t>
      </w:r>
      <w:r>
        <w:rPr>
          <w:rFonts w:eastAsiaTheme="minorEastAsia"/>
          <w:sz w:val="24"/>
        </w:rPr>
        <w:t>方法和技巧，能够在不同行业领域从事数据收集、处理、分析及解读工作，为企业的决策制定提供坚实的数据支撑与科学依据。</w:t>
      </w:r>
    </w:p>
    <w:p w14:paraId="47CE6801">
      <w:pPr>
        <w:adjustRightInd w:val="0"/>
        <w:snapToGrid w:val="0"/>
        <w:spacing w:line="480" w:lineRule="exact"/>
        <w:ind w:firstLine="480" w:firstLineChars="200"/>
        <w:rPr>
          <w:rFonts w:eastAsiaTheme="minorEastAsia"/>
          <w:sz w:val="24"/>
        </w:rPr>
      </w:pPr>
      <w:r>
        <w:rPr>
          <w:rFonts w:eastAsiaTheme="minorEastAsia"/>
          <w:sz w:val="24"/>
        </w:rPr>
        <w:t>目标2：素质与能力定位</w:t>
      </w:r>
      <w:r>
        <w:rPr>
          <w:rFonts w:hint="eastAsia" w:eastAsiaTheme="minorEastAsia"/>
          <w:sz w:val="24"/>
        </w:rPr>
        <w:t>。</w:t>
      </w:r>
      <w:r>
        <w:rPr>
          <w:rFonts w:eastAsiaTheme="minorEastAsia"/>
          <w:sz w:val="24"/>
        </w:rPr>
        <w:t>着重培养学生的综合素质与专业能力，包括扎实的统计理论基础、敏锐的数据洞察力、良好的逻辑思维能力和创新分析能力。学生应具备高度的责任心和职业道德，能够在复杂多变的经济环境中保持冷静判断，有效应对各种数据分析挑战。</w:t>
      </w:r>
    </w:p>
    <w:p w14:paraId="5478C235">
      <w:pPr>
        <w:adjustRightInd w:val="0"/>
        <w:snapToGrid w:val="0"/>
        <w:spacing w:line="480" w:lineRule="exact"/>
        <w:ind w:firstLine="480" w:firstLineChars="200"/>
        <w:rPr>
          <w:rFonts w:eastAsiaTheme="minorEastAsia"/>
          <w:sz w:val="24"/>
        </w:rPr>
      </w:pPr>
      <w:r>
        <w:rPr>
          <w:rFonts w:eastAsiaTheme="minorEastAsia"/>
          <w:sz w:val="24"/>
        </w:rPr>
        <w:t>目标3：培养类型定位</w:t>
      </w:r>
      <w:r>
        <w:rPr>
          <w:rFonts w:hint="eastAsia" w:eastAsiaTheme="minorEastAsia"/>
          <w:sz w:val="24"/>
        </w:rPr>
        <w:t>。</w:t>
      </w:r>
      <w:r>
        <w:rPr>
          <w:rFonts w:eastAsiaTheme="minorEastAsia"/>
          <w:sz w:val="24"/>
        </w:rPr>
        <w:t>旨在培养能够熟练掌握数据分析方法和统计软件，具备搜集、整理、分析数据的知识和能力，胜任经济管理数据分析工作的高级统计分析人才。这些人才不仅具备深厚的统计理论功底，还能灵活运用现代统计软件进行高效的数据处理和分析，为企业的经济管理提供有力的数据支持。</w:t>
      </w:r>
    </w:p>
    <w:p w14:paraId="37BF4EE9">
      <w:pPr>
        <w:adjustRightInd w:val="0"/>
        <w:snapToGrid w:val="0"/>
        <w:spacing w:line="480" w:lineRule="exact"/>
        <w:ind w:firstLine="480" w:firstLineChars="200"/>
        <w:rPr>
          <w:rFonts w:eastAsiaTheme="minorEastAsia"/>
          <w:sz w:val="24"/>
        </w:rPr>
      </w:pPr>
      <w:r>
        <w:rPr>
          <w:rFonts w:eastAsiaTheme="minorEastAsia"/>
          <w:sz w:val="24"/>
        </w:rPr>
        <w:t>目标4：理论与实践结合定位</w:t>
      </w:r>
      <w:r>
        <w:rPr>
          <w:rFonts w:hint="eastAsia" w:eastAsiaTheme="minorEastAsia"/>
          <w:sz w:val="24"/>
        </w:rPr>
        <w:t>。</w:t>
      </w:r>
      <w:r>
        <w:rPr>
          <w:rFonts w:eastAsiaTheme="minorEastAsia"/>
          <w:sz w:val="24"/>
        </w:rPr>
        <w:t>强调理论与实践相结合的培养模式，通过案例教学、项目实训、实习实践等多种方式，使学生能够将所学统计理论知识应用于实际经济问题分析中。同时，鼓励学生参与科研项目和学术活动，培养其科研能力和创新精神，为成为行业内的佼佼者打下坚实基础。</w:t>
      </w:r>
    </w:p>
    <w:p w14:paraId="41430A73">
      <w:pPr>
        <w:adjustRightInd w:val="0"/>
        <w:snapToGrid w:val="0"/>
        <w:spacing w:line="480" w:lineRule="exact"/>
        <w:ind w:firstLine="480" w:firstLineChars="200"/>
        <w:rPr>
          <w:rFonts w:eastAsiaTheme="minorEastAsia"/>
          <w:sz w:val="24"/>
        </w:rPr>
      </w:pPr>
      <w:r>
        <w:rPr>
          <w:rFonts w:eastAsiaTheme="minorEastAsia"/>
          <w:sz w:val="24"/>
        </w:rPr>
        <w:t>目标5：国际化视野与持续发展定位</w:t>
      </w:r>
      <w:r>
        <w:rPr>
          <w:rFonts w:hint="eastAsia" w:eastAsiaTheme="minorEastAsia"/>
          <w:sz w:val="24"/>
        </w:rPr>
        <w:t>。通过</w:t>
      </w:r>
      <w:r>
        <w:rPr>
          <w:rFonts w:eastAsiaTheme="minorEastAsia"/>
          <w:sz w:val="24"/>
        </w:rPr>
        <w:t>拓宽学生的国际视野，通过国际交流、海外实习、双学位项目等途径，让学生了解国际统计领域的最新动态和发展趋势。同时，注重培养学生的终身学习能力和持续发展意识，鼓励他们在职业生涯中不断追求新知，提升自我，以适应快速变化的经济环境对统计分析人才的新要求。</w:t>
      </w:r>
    </w:p>
    <w:p w14:paraId="28954C70">
      <w:pPr>
        <w:adjustRightInd w:val="0"/>
        <w:snapToGrid w:val="0"/>
        <w:spacing w:before="120" w:beforeLines="50" w:line="480" w:lineRule="exact"/>
        <w:ind w:firstLine="560" w:firstLineChars="200"/>
        <w:rPr>
          <w:rFonts w:eastAsia="黑体"/>
          <w:sz w:val="28"/>
          <w:szCs w:val="28"/>
        </w:rPr>
      </w:pPr>
      <w:r>
        <w:rPr>
          <w:rFonts w:eastAsia="黑体"/>
          <w:sz w:val="28"/>
          <w:szCs w:val="28"/>
        </w:rPr>
        <w:t>三、毕业要求</w:t>
      </w:r>
    </w:p>
    <w:p w14:paraId="2AAFAA86">
      <w:pPr>
        <w:adjustRightInd w:val="0"/>
        <w:snapToGrid w:val="0"/>
        <w:spacing w:line="480" w:lineRule="exact"/>
        <w:ind w:firstLine="480" w:firstLineChars="200"/>
        <w:rPr>
          <w:rFonts w:eastAsiaTheme="minorEastAsia"/>
          <w:sz w:val="24"/>
        </w:rPr>
      </w:pPr>
      <w:r>
        <w:rPr>
          <w:rFonts w:hint="eastAsia" w:eastAsiaTheme="minorEastAsia"/>
          <w:sz w:val="24"/>
        </w:rPr>
        <w:t>1.</w:t>
      </w:r>
      <w:r>
        <w:rPr>
          <w:rFonts w:eastAsiaTheme="minorEastAsia"/>
          <w:sz w:val="24"/>
        </w:rPr>
        <w:t>知识要求</w:t>
      </w:r>
    </w:p>
    <w:p w14:paraId="302D9FE3">
      <w:pPr>
        <w:adjustRightInd w:val="0"/>
        <w:snapToGrid w:val="0"/>
        <w:spacing w:line="480" w:lineRule="exact"/>
        <w:ind w:firstLine="480" w:firstLineChars="200"/>
        <w:rPr>
          <w:rFonts w:eastAsiaTheme="minorEastAsia"/>
          <w:sz w:val="24"/>
        </w:rPr>
      </w:pPr>
      <w:r>
        <w:rPr>
          <w:rFonts w:eastAsiaTheme="minorEastAsia"/>
          <w:sz w:val="24"/>
        </w:rPr>
        <w:t>学生需掌握扎实的统计学与经济学的基本理论和基本知识，具备良好的数学基础、英语基础和计算机基础，同时具备通识教育类相关知识。</w:t>
      </w:r>
    </w:p>
    <w:p w14:paraId="615B8CB2">
      <w:pPr>
        <w:adjustRightInd w:val="0"/>
        <w:snapToGrid w:val="0"/>
        <w:spacing w:line="480" w:lineRule="exact"/>
        <w:ind w:firstLine="480" w:firstLineChars="200"/>
        <w:rPr>
          <w:rFonts w:eastAsiaTheme="minorEastAsia"/>
          <w:sz w:val="24"/>
        </w:rPr>
      </w:pPr>
      <w:r>
        <w:rPr>
          <w:rFonts w:eastAsiaTheme="minorEastAsia"/>
          <w:sz w:val="24"/>
        </w:rPr>
        <w:t>1.1掌握扎实的统计</w:t>
      </w:r>
      <w:r>
        <w:rPr>
          <w:rFonts w:hint="eastAsia" w:eastAsiaTheme="minorEastAsia"/>
          <w:sz w:val="24"/>
        </w:rPr>
        <w:t>与经济学知识</w:t>
      </w:r>
    </w:p>
    <w:p w14:paraId="634C2A5C">
      <w:pPr>
        <w:adjustRightInd w:val="0"/>
        <w:snapToGrid w:val="0"/>
        <w:spacing w:line="480" w:lineRule="exact"/>
        <w:ind w:firstLine="480" w:firstLineChars="200"/>
        <w:rPr>
          <w:rFonts w:eastAsiaTheme="minorEastAsia"/>
          <w:sz w:val="24"/>
        </w:rPr>
      </w:pPr>
      <w:r>
        <w:rPr>
          <w:rFonts w:eastAsiaTheme="minorEastAsia"/>
          <w:sz w:val="24"/>
        </w:rPr>
        <w:t>熟练掌握概率论、数理统计、多元统计分析等统计学专业知识</w:t>
      </w:r>
      <w:r>
        <w:rPr>
          <w:rFonts w:hint="eastAsia" w:eastAsiaTheme="minorEastAsia"/>
          <w:sz w:val="24"/>
        </w:rPr>
        <w:t>；</w:t>
      </w:r>
      <w:r>
        <w:rPr>
          <w:rFonts w:eastAsiaTheme="minorEastAsia"/>
          <w:sz w:val="24"/>
        </w:rPr>
        <w:t>掌握微观经济学、宏观经济学、金融学、会计学等经济学基础知识。</w:t>
      </w:r>
    </w:p>
    <w:p w14:paraId="7C0206E6">
      <w:pPr>
        <w:adjustRightInd w:val="0"/>
        <w:snapToGrid w:val="0"/>
        <w:spacing w:line="480" w:lineRule="exact"/>
        <w:ind w:firstLine="480" w:firstLineChars="200"/>
        <w:rPr>
          <w:rFonts w:eastAsiaTheme="minorEastAsia"/>
          <w:sz w:val="24"/>
        </w:rPr>
      </w:pPr>
      <w:r>
        <w:rPr>
          <w:rFonts w:eastAsiaTheme="minorEastAsia"/>
          <w:sz w:val="24"/>
        </w:rPr>
        <w:t>1.</w:t>
      </w:r>
      <w:r>
        <w:rPr>
          <w:rFonts w:hint="eastAsia" w:eastAsiaTheme="minorEastAsia"/>
          <w:sz w:val="24"/>
        </w:rPr>
        <w:t>2</w:t>
      </w:r>
      <w:r>
        <w:rPr>
          <w:rFonts w:eastAsiaTheme="minorEastAsia"/>
          <w:sz w:val="24"/>
        </w:rPr>
        <w:t>熟练运用统计软件和数据库工具</w:t>
      </w:r>
    </w:p>
    <w:p w14:paraId="74CFB2F1">
      <w:pPr>
        <w:adjustRightInd w:val="0"/>
        <w:snapToGrid w:val="0"/>
        <w:spacing w:line="480" w:lineRule="exact"/>
        <w:ind w:firstLine="480" w:firstLineChars="200"/>
        <w:rPr>
          <w:rFonts w:eastAsiaTheme="minorEastAsia"/>
          <w:sz w:val="24"/>
        </w:rPr>
      </w:pPr>
      <w:r>
        <w:rPr>
          <w:rFonts w:eastAsiaTheme="minorEastAsia"/>
          <w:sz w:val="24"/>
        </w:rPr>
        <w:t>掌握统计软件及常用数据库工具的使用，了解各类软件的优缺点，能够针对现实问题合理选择数据分析工具，或利用已有资源开发小型数据处理平台。</w:t>
      </w:r>
    </w:p>
    <w:p w14:paraId="5F10BE76">
      <w:pPr>
        <w:adjustRightInd w:val="0"/>
        <w:snapToGrid w:val="0"/>
        <w:spacing w:line="480" w:lineRule="exact"/>
        <w:ind w:firstLine="480" w:firstLineChars="200"/>
        <w:rPr>
          <w:rFonts w:eastAsiaTheme="minorEastAsia"/>
          <w:sz w:val="24"/>
        </w:rPr>
      </w:pPr>
      <w:r>
        <w:rPr>
          <w:rFonts w:eastAsiaTheme="minorEastAsia"/>
          <w:sz w:val="24"/>
        </w:rPr>
        <w:t>1.</w:t>
      </w:r>
      <w:r>
        <w:rPr>
          <w:rFonts w:hint="eastAsia" w:eastAsiaTheme="minorEastAsia"/>
          <w:sz w:val="24"/>
        </w:rPr>
        <w:t>3掌握</w:t>
      </w:r>
      <w:r>
        <w:rPr>
          <w:rFonts w:eastAsiaTheme="minorEastAsia"/>
          <w:sz w:val="24"/>
        </w:rPr>
        <w:t>通识与跨学科知识</w:t>
      </w:r>
    </w:p>
    <w:p w14:paraId="416175D6">
      <w:pPr>
        <w:adjustRightInd w:val="0"/>
        <w:snapToGrid w:val="0"/>
        <w:spacing w:line="480" w:lineRule="exact"/>
        <w:ind w:firstLine="480" w:firstLineChars="200"/>
        <w:rPr>
          <w:rFonts w:eastAsiaTheme="minorEastAsia"/>
          <w:sz w:val="24"/>
        </w:rPr>
      </w:pPr>
      <w:r>
        <w:rPr>
          <w:rFonts w:eastAsiaTheme="minorEastAsia"/>
          <w:sz w:val="24"/>
        </w:rPr>
        <w:t>掌握人文、社会科学、自然科学等通识教育类知识，具备跨学科的综合素养。了解本学科发展前沿，具备国际视野，能够关注并适应全球化的专业环境。</w:t>
      </w:r>
    </w:p>
    <w:p w14:paraId="6D96766F">
      <w:pPr>
        <w:adjustRightInd w:val="0"/>
        <w:snapToGrid w:val="0"/>
        <w:spacing w:line="480" w:lineRule="exact"/>
        <w:ind w:firstLine="480" w:firstLineChars="200"/>
        <w:rPr>
          <w:rFonts w:eastAsiaTheme="minorEastAsia"/>
          <w:sz w:val="24"/>
        </w:rPr>
      </w:pPr>
      <w:r>
        <w:rPr>
          <w:rFonts w:eastAsiaTheme="minorEastAsia"/>
          <w:sz w:val="24"/>
        </w:rPr>
        <w:t>2. 能力要求</w:t>
      </w:r>
    </w:p>
    <w:p w14:paraId="404A7031">
      <w:pPr>
        <w:adjustRightInd w:val="0"/>
        <w:snapToGrid w:val="0"/>
        <w:spacing w:line="480" w:lineRule="exact"/>
        <w:ind w:firstLine="480" w:firstLineChars="200"/>
        <w:rPr>
          <w:rFonts w:eastAsiaTheme="minorEastAsia"/>
          <w:sz w:val="24"/>
        </w:rPr>
      </w:pPr>
      <w:r>
        <w:rPr>
          <w:rFonts w:eastAsiaTheme="minorEastAsia"/>
          <w:sz w:val="24"/>
        </w:rPr>
        <w:t>学生需具备过硬的自主学习能力、沟通</w:t>
      </w:r>
      <w:r>
        <w:rPr>
          <w:rFonts w:hint="eastAsia" w:eastAsiaTheme="minorEastAsia"/>
          <w:sz w:val="24"/>
        </w:rPr>
        <w:t>协助</w:t>
      </w:r>
      <w:r>
        <w:rPr>
          <w:rFonts w:eastAsiaTheme="minorEastAsia"/>
          <w:sz w:val="24"/>
        </w:rPr>
        <w:t>表达能力、专业技术能力、学术创新能力，同时能够运用现代科技解决复杂问题，并具备团队协作和终身学习能力。</w:t>
      </w:r>
    </w:p>
    <w:p w14:paraId="02BEE8FD">
      <w:pPr>
        <w:adjustRightInd w:val="0"/>
        <w:snapToGrid w:val="0"/>
        <w:spacing w:line="480" w:lineRule="exact"/>
        <w:ind w:firstLine="480" w:firstLineChars="200"/>
        <w:rPr>
          <w:rFonts w:eastAsiaTheme="minorEastAsia"/>
          <w:sz w:val="24"/>
        </w:rPr>
      </w:pPr>
      <w:r>
        <w:rPr>
          <w:rFonts w:eastAsiaTheme="minorEastAsia"/>
          <w:sz w:val="24"/>
        </w:rPr>
        <w:t>2.1自主学习能力</w:t>
      </w:r>
    </w:p>
    <w:p w14:paraId="70FCD593">
      <w:pPr>
        <w:adjustRightInd w:val="0"/>
        <w:snapToGrid w:val="0"/>
        <w:spacing w:line="480" w:lineRule="exact"/>
        <w:ind w:firstLine="480" w:firstLineChars="200"/>
        <w:rPr>
          <w:rFonts w:eastAsiaTheme="minorEastAsia"/>
          <w:sz w:val="24"/>
        </w:rPr>
      </w:pPr>
      <w:r>
        <w:rPr>
          <w:rFonts w:eastAsiaTheme="minorEastAsia"/>
          <w:sz w:val="24"/>
        </w:rPr>
        <w:t>理解终身学习的重要性，具备不断学习的意识和精神，能够主动学习新的数据处理软件和分析方法，不断提升工作效率。</w:t>
      </w:r>
    </w:p>
    <w:p w14:paraId="2E9A53EE">
      <w:pPr>
        <w:adjustRightInd w:val="0"/>
        <w:snapToGrid w:val="0"/>
        <w:spacing w:line="480" w:lineRule="exact"/>
        <w:ind w:firstLine="480" w:firstLineChars="200"/>
        <w:rPr>
          <w:rFonts w:eastAsiaTheme="minorEastAsia"/>
          <w:sz w:val="24"/>
        </w:rPr>
      </w:pPr>
      <w:r>
        <w:rPr>
          <w:rFonts w:eastAsiaTheme="minorEastAsia"/>
          <w:sz w:val="24"/>
        </w:rPr>
        <w:t>2.2沟通与团队协同能力</w:t>
      </w:r>
    </w:p>
    <w:p w14:paraId="0FA0BDCA">
      <w:pPr>
        <w:adjustRightInd w:val="0"/>
        <w:snapToGrid w:val="0"/>
        <w:spacing w:line="480" w:lineRule="exact"/>
        <w:ind w:firstLine="480" w:firstLineChars="200"/>
        <w:rPr>
          <w:rFonts w:eastAsiaTheme="minorEastAsia"/>
          <w:sz w:val="24"/>
        </w:rPr>
      </w:pPr>
      <w:r>
        <w:rPr>
          <w:rFonts w:eastAsiaTheme="minorEastAsia"/>
          <w:sz w:val="24"/>
        </w:rPr>
        <w:t>能够使用书面和口头表达方式，与国内外业界同行、社会公众就本专业领域的现象和问题进行有效沟通与交流</w:t>
      </w:r>
      <w:r>
        <w:rPr>
          <w:rFonts w:hint="eastAsia" w:eastAsiaTheme="minorEastAsia"/>
          <w:sz w:val="24"/>
        </w:rPr>
        <w:t>；</w:t>
      </w:r>
      <w:r>
        <w:rPr>
          <w:rFonts w:eastAsiaTheme="minorEastAsia"/>
          <w:sz w:val="24"/>
        </w:rPr>
        <w:t>具有团队协作意识，能够在本学科及多学科团队活动中发挥个人能力，并与其他成员高效协作，共同完成任务。</w:t>
      </w:r>
    </w:p>
    <w:p w14:paraId="1E786C0D">
      <w:pPr>
        <w:adjustRightInd w:val="0"/>
        <w:snapToGrid w:val="0"/>
        <w:spacing w:line="480" w:lineRule="exact"/>
        <w:ind w:firstLine="480" w:firstLineChars="200"/>
        <w:rPr>
          <w:rFonts w:eastAsiaTheme="minorEastAsia"/>
          <w:sz w:val="24"/>
        </w:rPr>
      </w:pPr>
      <w:r>
        <w:rPr>
          <w:rFonts w:eastAsiaTheme="minorEastAsia"/>
          <w:sz w:val="24"/>
        </w:rPr>
        <w:t>2.3专业技术能力</w:t>
      </w:r>
    </w:p>
    <w:p w14:paraId="04760EA7">
      <w:pPr>
        <w:adjustRightInd w:val="0"/>
        <w:snapToGrid w:val="0"/>
        <w:spacing w:line="480" w:lineRule="exact"/>
        <w:ind w:firstLine="480" w:firstLineChars="200"/>
        <w:rPr>
          <w:rFonts w:eastAsiaTheme="minorEastAsia"/>
          <w:sz w:val="24"/>
        </w:rPr>
      </w:pPr>
      <w:r>
        <w:rPr>
          <w:rFonts w:eastAsiaTheme="minorEastAsia"/>
          <w:sz w:val="24"/>
        </w:rPr>
        <w:t>熟练掌握本专业的基本理论、基本知识和基本技能，能够运用大数据、人工智能等现代科技，结合本学科基本原理和方法，对经济统计及相关领域的复杂问题进行判断、分析和研究，提出相应对策和建议，并形成解决方案。</w:t>
      </w:r>
    </w:p>
    <w:p w14:paraId="401CC49B">
      <w:pPr>
        <w:adjustRightInd w:val="0"/>
        <w:snapToGrid w:val="0"/>
        <w:spacing w:line="480" w:lineRule="exact"/>
        <w:ind w:firstLine="480" w:firstLineChars="200"/>
        <w:rPr>
          <w:rFonts w:eastAsiaTheme="minorEastAsia"/>
          <w:sz w:val="24"/>
        </w:rPr>
      </w:pPr>
      <w:r>
        <w:rPr>
          <w:rFonts w:eastAsiaTheme="minorEastAsia"/>
          <w:sz w:val="24"/>
        </w:rPr>
        <w:t>2.4学术创新能力</w:t>
      </w:r>
    </w:p>
    <w:p w14:paraId="205E97C4">
      <w:pPr>
        <w:adjustRightInd w:val="0"/>
        <w:snapToGrid w:val="0"/>
        <w:spacing w:line="480" w:lineRule="exact"/>
        <w:ind w:firstLine="480" w:firstLineChars="200"/>
        <w:rPr>
          <w:rFonts w:eastAsiaTheme="minorEastAsia"/>
          <w:sz w:val="24"/>
        </w:rPr>
      </w:pPr>
      <w:r>
        <w:rPr>
          <w:rFonts w:eastAsiaTheme="minorEastAsia"/>
          <w:sz w:val="24"/>
        </w:rPr>
        <w:t>具备文献和信息检索能力，能够发现问题、分析问题，建立经济统计模型，并解决实际问题</w:t>
      </w:r>
      <w:r>
        <w:rPr>
          <w:rFonts w:hint="eastAsia" w:eastAsiaTheme="minorEastAsia"/>
          <w:sz w:val="24"/>
        </w:rPr>
        <w:t>；</w:t>
      </w:r>
      <w:r>
        <w:rPr>
          <w:rFonts w:eastAsiaTheme="minorEastAsia"/>
          <w:sz w:val="24"/>
        </w:rPr>
        <w:t>能够恰当使用AI工具，对专业领域的数据信息进行收集、处理和分析，高效完成专业任务。</w:t>
      </w:r>
    </w:p>
    <w:p w14:paraId="5E3737CA">
      <w:pPr>
        <w:adjustRightInd w:val="0"/>
        <w:snapToGrid w:val="0"/>
        <w:spacing w:line="480" w:lineRule="exact"/>
        <w:ind w:firstLine="480" w:firstLineChars="200"/>
        <w:rPr>
          <w:rFonts w:eastAsiaTheme="minorEastAsia"/>
          <w:sz w:val="24"/>
        </w:rPr>
      </w:pPr>
      <w:r>
        <w:rPr>
          <w:rFonts w:eastAsiaTheme="minorEastAsia"/>
          <w:sz w:val="24"/>
        </w:rPr>
        <w:t>3. 素质要求</w:t>
      </w:r>
    </w:p>
    <w:p w14:paraId="07641AC0">
      <w:pPr>
        <w:adjustRightInd w:val="0"/>
        <w:snapToGrid w:val="0"/>
        <w:spacing w:line="480" w:lineRule="exact"/>
        <w:ind w:firstLine="480" w:firstLineChars="200"/>
        <w:rPr>
          <w:rFonts w:eastAsiaTheme="minorEastAsia"/>
          <w:sz w:val="24"/>
        </w:rPr>
      </w:pPr>
      <w:r>
        <w:rPr>
          <w:rFonts w:eastAsiaTheme="minorEastAsia"/>
          <w:sz w:val="24"/>
        </w:rPr>
        <w:t>学生需具备过硬的政治素质、道德素质、职业素质和身心素质，同时具备数智素养、人文底蕴、科学精神和社会责任感。</w:t>
      </w:r>
    </w:p>
    <w:p w14:paraId="2662ED7A">
      <w:pPr>
        <w:adjustRightInd w:val="0"/>
        <w:snapToGrid w:val="0"/>
        <w:spacing w:line="480" w:lineRule="exact"/>
        <w:ind w:firstLine="480" w:firstLineChars="200"/>
        <w:rPr>
          <w:rFonts w:eastAsiaTheme="minorEastAsia"/>
          <w:sz w:val="24"/>
        </w:rPr>
      </w:pPr>
      <w:r>
        <w:rPr>
          <w:rFonts w:eastAsiaTheme="minorEastAsia"/>
          <w:sz w:val="24"/>
        </w:rPr>
        <w:t>3.1政治素质过硬</w:t>
      </w:r>
    </w:p>
    <w:p w14:paraId="3C3D1DDD">
      <w:pPr>
        <w:adjustRightInd w:val="0"/>
        <w:snapToGrid w:val="0"/>
        <w:spacing w:line="480" w:lineRule="exact"/>
        <w:ind w:firstLine="480" w:firstLineChars="200"/>
        <w:rPr>
          <w:rFonts w:eastAsiaTheme="minorEastAsia"/>
          <w:sz w:val="24"/>
        </w:rPr>
      </w:pPr>
      <w:r>
        <w:rPr>
          <w:rFonts w:eastAsiaTheme="minorEastAsia"/>
          <w:sz w:val="24"/>
        </w:rPr>
        <w:t>具备坚定的政治立场，积极践行社会主义核心价值观，具有强烈的历史使命感和社会责任感。</w:t>
      </w:r>
    </w:p>
    <w:p w14:paraId="0FAF7823">
      <w:pPr>
        <w:adjustRightInd w:val="0"/>
        <w:snapToGrid w:val="0"/>
        <w:spacing w:line="480" w:lineRule="exact"/>
        <w:ind w:firstLine="480" w:firstLineChars="200"/>
        <w:rPr>
          <w:rFonts w:eastAsiaTheme="minorEastAsia"/>
          <w:sz w:val="24"/>
        </w:rPr>
      </w:pPr>
      <w:r>
        <w:rPr>
          <w:rFonts w:eastAsiaTheme="minorEastAsia"/>
          <w:sz w:val="24"/>
        </w:rPr>
        <w:t>3.2道德品质良好</w:t>
      </w:r>
    </w:p>
    <w:p w14:paraId="2AF0F1BD">
      <w:pPr>
        <w:adjustRightInd w:val="0"/>
        <w:snapToGrid w:val="0"/>
        <w:spacing w:line="480" w:lineRule="exact"/>
        <w:ind w:firstLine="480" w:firstLineChars="200"/>
        <w:rPr>
          <w:rFonts w:eastAsiaTheme="minorEastAsia"/>
          <w:sz w:val="24"/>
        </w:rPr>
      </w:pPr>
      <w:r>
        <w:rPr>
          <w:rFonts w:eastAsiaTheme="minorEastAsia"/>
          <w:sz w:val="24"/>
        </w:rPr>
        <w:t>诚实守信，尊重他人，具备良好的社会公德和职业道德</w:t>
      </w:r>
      <w:r>
        <w:rPr>
          <w:rFonts w:hint="eastAsia" w:eastAsiaTheme="minorEastAsia"/>
          <w:sz w:val="24"/>
        </w:rPr>
        <w:t>；</w:t>
      </w:r>
      <w:r>
        <w:rPr>
          <w:rFonts w:eastAsiaTheme="minorEastAsia"/>
          <w:sz w:val="24"/>
        </w:rPr>
        <w:t>具有深厚的人文底蕴，关注社会问题，能够在专业实践中体现社会责任感。</w:t>
      </w:r>
    </w:p>
    <w:p w14:paraId="7ED3EC1E">
      <w:pPr>
        <w:adjustRightInd w:val="0"/>
        <w:snapToGrid w:val="0"/>
        <w:spacing w:line="480" w:lineRule="exact"/>
        <w:ind w:firstLine="480" w:firstLineChars="200"/>
        <w:rPr>
          <w:rFonts w:eastAsiaTheme="minorEastAsia"/>
          <w:sz w:val="24"/>
        </w:rPr>
      </w:pPr>
      <w:r>
        <w:rPr>
          <w:rFonts w:hint="eastAsia" w:eastAsiaTheme="minorEastAsia"/>
          <w:sz w:val="24"/>
        </w:rPr>
        <w:t>3.3</w:t>
      </w:r>
      <w:r>
        <w:rPr>
          <w:rFonts w:eastAsiaTheme="minorEastAsia"/>
          <w:sz w:val="24"/>
        </w:rPr>
        <w:t>富有职业精神</w:t>
      </w:r>
    </w:p>
    <w:p w14:paraId="726476E9">
      <w:pPr>
        <w:adjustRightInd w:val="0"/>
        <w:snapToGrid w:val="0"/>
        <w:spacing w:line="480" w:lineRule="exact"/>
        <w:ind w:firstLine="480" w:firstLineChars="200"/>
        <w:rPr>
          <w:rFonts w:eastAsiaTheme="minorEastAsia"/>
          <w:sz w:val="24"/>
        </w:rPr>
      </w:pPr>
      <w:r>
        <w:rPr>
          <w:rFonts w:eastAsiaTheme="minorEastAsia"/>
          <w:sz w:val="24"/>
        </w:rPr>
        <w:t>热爱统计工作，致力于数据的真实性和准确性，能够保持高度的责任心和敬业精神</w:t>
      </w:r>
      <w:r>
        <w:rPr>
          <w:rFonts w:hint="eastAsia" w:eastAsiaTheme="minorEastAsia"/>
          <w:sz w:val="24"/>
        </w:rPr>
        <w:t>；</w:t>
      </w:r>
      <w:r>
        <w:rPr>
          <w:rFonts w:eastAsiaTheme="minorEastAsia"/>
          <w:sz w:val="24"/>
        </w:rPr>
        <w:t>熟悉本专业领域的相关政策、法律法规，能够在实践中遵守职业道德和职业规范</w:t>
      </w:r>
      <w:r>
        <w:rPr>
          <w:rFonts w:hint="eastAsia" w:eastAsiaTheme="minorEastAsia"/>
          <w:sz w:val="24"/>
        </w:rPr>
        <w:t>；</w:t>
      </w:r>
      <w:r>
        <w:rPr>
          <w:rFonts w:eastAsiaTheme="minorEastAsia"/>
          <w:sz w:val="24"/>
        </w:rPr>
        <w:t>具备数据思维和智能化素养，能够运用科学方法解决实际问题，同时具有严谨的科学精神和批判性思维。</w:t>
      </w:r>
    </w:p>
    <w:p w14:paraId="397AA2DC">
      <w:pPr>
        <w:adjustRightInd w:val="0"/>
        <w:snapToGrid w:val="0"/>
        <w:spacing w:line="480" w:lineRule="exact"/>
        <w:ind w:firstLine="480" w:firstLineChars="200"/>
        <w:rPr>
          <w:rFonts w:eastAsiaTheme="minorEastAsia"/>
          <w:sz w:val="24"/>
        </w:rPr>
      </w:pPr>
      <w:r>
        <w:rPr>
          <w:rFonts w:hint="eastAsia" w:eastAsiaTheme="minorEastAsia"/>
          <w:sz w:val="24"/>
        </w:rPr>
        <w:t>3.4</w:t>
      </w:r>
      <w:r>
        <w:rPr>
          <w:rFonts w:eastAsiaTheme="minorEastAsia"/>
          <w:sz w:val="24"/>
        </w:rPr>
        <w:t>体魄心理健康</w:t>
      </w:r>
    </w:p>
    <w:p w14:paraId="30C691D6">
      <w:pPr>
        <w:adjustRightInd w:val="0"/>
        <w:snapToGrid w:val="0"/>
        <w:spacing w:line="480" w:lineRule="exact"/>
        <w:ind w:firstLine="480" w:firstLineChars="200"/>
        <w:rPr>
          <w:rFonts w:eastAsiaTheme="minorEastAsia"/>
          <w:sz w:val="24"/>
        </w:rPr>
      </w:pPr>
      <w:r>
        <w:rPr>
          <w:rFonts w:hint="eastAsia" w:eastAsiaTheme="minorEastAsia"/>
          <w:sz w:val="24"/>
        </w:rPr>
        <w:t>通过学生体质健康测试是毕业条件之一。</w:t>
      </w:r>
      <w:r>
        <w:rPr>
          <w:rFonts w:eastAsiaTheme="minorEastAsia"/>
          <w:sz w:val="24"/>
        </w:rPr>
        <w:t>具备健康的心理状态，能够积极面对生活中的挑战和困难，保持乐观向上的心态，为学习和工作提供坚实的身心保障。</w:t>
      </w:r>
    </w:p>
    <w:p w14:paraId="5CAE3767">
      <w:pPr>
        <w:adjustRightInd w:val="0"/>
        <w:snapToGrid w:val="0"/>
        <w:spacing w:before="120" w:beforeLines="50" w:line="480" w:lineRule="exact"/>
        <w:ind w:firstLine="560" w:firstLineChars="200"/>
        <w:rPr>
          <w:rFonts w:eastAsia="黑体"/>
          <w:sz w:val="28"/>
          <w:szCs w:val="28"/>
        </w:rPr>
      </w:pPr>
      <w:r>
        <w:rPr>
          <w:rFonts w:eastAsia="黑体"/>
          <w:sz w:val="28"/>
          <w:szCs w:val="28"/>
        </w:rPr>
        <w:t>四、主干学科</w:t>
      </w:r>
      <w:r>
        <w:rPr>
          <w:rFonts w:hint="eastAsia" w:eastAsia="黑体"/>
          <w:sz w:val="28"/>
          <w:szCs w:val="28"/>
        </w:rPr>
        <w:t>、</w:t>
      </w:r>
      <w:r>
        <w:rPr>
          <w:rFonts w:eastAsia="黑体"/>
          <w:sz w:val="28"/>
          <w:szCs w:val="28"/>
        </w:rPr>
        <w:t>核心课程</w:t>
      </w:r>
      <w:r>
        <w:rPr>
          <w:rFonts w:hint="eastAsia" w:eastAsia="黑体"/>
          <w:sz w:val="28"/>
          <w:szCs w:val="28"/>
        </w:rPr>
        <w:t>及专业知识图谱</w:t>
      </w:r>
    </w:p>
    <w:p w14:paraId="0ECA9AE5">
      <w:pPr>
        <w:adjustRightInd w:val="0"/>
        <w:snapToGrid w:val="0"/>
        <w:spacing w:line="480" w:lineRule="exact"/>
        <w:ind w:firstLine="480" w:firstLineChars="200"/>
        <w:rPr>
          <w:rFonts w:eastAsiaTheme="minorEastAsia"/>
          <w:sz w:val="24"/>
        </w:rPr>
      </w:pPr>
      <w:r>
        <w:rPr>
          <w:rFonts w:hint="eastAsia" w:eastAsiaTheme="minorEastAsia"/>
          <w:sz w:val="24"/>
        </w:rPr>
        <w:t>（1）</w:t>
      </w:r>
      <w:r>
        <w:rPr>
          <w:rFonts w:eastAsiaTheme="minorEastAsia"/>
          <w:sz w:val="24"/>
        </w:rPr>
        <w:t>主干学科</w:t>
      </w:r>
    </w:p>
    <w:p w14:paraId="5AAF5D0B">
      <w:pPr>
        <w:adjustRightInd w:val="0"/>
        <w:snapToGrid w:val="0"/>
        <w:spacing w:line="480" w:lineRule="exact"/>
        <w:ind w:firstLine="480" w:firstLineChars="200"/>
        <w:rPr>
          <w:rFonts w:eastAsiaTheme="minorEastAsia"/>
          <w:sz w:val="24"/>
        </w:rPr>
      </w:pPr>
      <w:r>
        <w:rPr>
          <w:rFonts w:hint="eastAsia" w:eastAsiaTheme="minorEastAsia"/>
          <w:sz w:val="24"/>
        </w:rPr>
        <w:t>经济学、统计学、数据科学。</w:t>
      </w:r>
    </w:p>
    <w:p w14:paraId="5CA63A97">
      <w:pPr>
        <w:adjustRightInd w:val="0"/>
        <w:snapToGrid w:val="0"/>
        <w:spacing w:line="480" w:lineRule="exact"/>
        <w:ind w:firstLine="480" w:firstLineChars="200"/>
        <w:rPr>
          <w:rFonts w:eastAsiaTheme="minorEastAsia"/>
          <w:sz w:val="24"/>
        </w:rPr>
      </w:pPr>
      <w:r>
        <w:rPr>
          <w:rFonts w:hint="eastAsia" w:eastAsiaTheme="minorEastAsia"/>
          <w:sz w:val="24"/>
        </w:rPr>
        <w:t>（2）</w:t>
      </w:r>
      <w:r>
        <w:rPr>
          <w:rFonts w:eastAsiaTheme="minorEastAsia"/>
          <w:sz w:val="24"/>
        </w:rPr>
        <w:t>核心课程</w:t>
      </w:r>
    </w:p>
    <w:p w14:paraId="4859F189">
      <w:pPr>
        <w:adjustRightInd w:val="0"/>
        <w:snapToGrid w:val="0"/>
        <w:spacing w:line="480" w:lineRule="exact"/>
        <w:ind w:firstLine="480" w:firstLineChars="200"/>
        <w:rPr>
          <w:rFonts w:eastAsiaTheme="minorEastAsia"/>
          <w:sz w:val="24"/>
        </w:rPr>
      </w:pPr>
      <w:r>
        <w:rPr>
          <w:rFonts w:hint="eastAsia" w:eastAsiaTheme="minorEastAsia"/>
          <w:sz w:val="24"/>
        </w:rPr>
        <w:t>经济类：微观经济学、宏观经济学、金融学、会计学基础、政治经济学、经济统计方法与模型、金融统计与风险管理。</w:t>
      </w:r>
    </w:p>
    <w:p w14:paraId="3D93ECF6">
      <w:pPr>
        <w:adjustRightInd w:val="0"/>
        <w:snapToGrid w:val="0"/>
        <w:spacing w:line="480" w:lineRule="exact"/>
        <w:ind w:firstLine="480" w:firstLineChars="200"/>
        <w:rPr>
          <w:rFonts w:eastAsiaTheme="minorEastAsia"/>
          <w:sz w:val="24"/>
        </w:rPr>
      </w:pPr>
      <w:r>
        <w:rPr>
          <w:rFonts w:hint="eastAsia" w:eastAsiaTheme="minorEastAsia"/>
          <w:sz w:val="24"/>
        </w:rPr>
        <w:t>统计类：概率论、数理统计、统计与数据科学导论、应用回归分析、调查与抽样技术、多元统计分析、时间序列分析、国民经济核算、精算与数据分析基础、优化方法、贝叶斯统计、非参数统计。</w:t>
      </w:r>
    </w:p>
    <w:p w14:paraId="6EF66B30">
      <w:pPr>
        <w:adjustRightInd w:val="0"/>
        <w:snapToGrid w:val="0"/>
        <w:spacing w:line="480" w:lineRule="exact"/>
        <w:ind w:firstLine="480" w:firstLineChars="200"/>
        <w:rPr>
          <w:rFonts w:eastAsiaTheme="minorEastAsia"/>
          <w:sz w:val="24"/>
        </w:rPr>
      </w:pPr>
      <w:r>
        <w:rPr>
          <w:rFonts w:hint="eastAsia" w:eastAsiaTheme="minorEastAsia"/>
          <w:sz w:val="24"/>
        </w:rPr>
        <w:t>数据科学类：统计编程基础、Python数据分析、非结构数据分析与建模、机器学习与量化投资、神经网络与深度学习、人工智能大语言模型、人工智能中的数学方法。</w:t>
      </w:r>
    </w:p>
    <w:p w14:paraId="6730FF31">
      <w:pPr>
        <w:adjustRightInd w:val="0"/>
        <w:snapToGrid w:val="0"/>
        <w:spacing w:line="480" w:lineRule="exact"/>
        <w:ind w:firstLine="480" w:firstLineChars="200"/>
        <w:rPr>
          <w:rFonts w:eastAsiaTheme="minorEastAsia"/>
          <w:sz w:val="24"/>
        </w:rPr>
      </w:pPr>
      <w:r>
        <w:rPr>
          <w:rFonts w:hint="eastAsia" w:eastAsiaTheme="minorEastAsia"/>
          <w:sz w:val="24"/>
        </w:rPr>
        <w:t>（3）专业知识图谱</w:t>
      </w:r>
    </w:p>
    <w:p w14:paraId="2D13AE57">
      <w:pPr>
        <w:adjustRightInd w:val="0"/>
        <w:snapToGrid w:val="0"/>
        <w:spacing w:line="480" w:lineRule="exact"/>
        <w:ind w:firstLine="480" w:firstLineChars="200"/>
        <w:rPr>
          <w:rFonts w:eastAsiaTheme="minorEastAsia"/>
          <w:sz w:val="24"/>
        </w:rPr>
      </w:pPr>
      <w:r>
        <w:rPr>
          <w:rFonts w:hint="eastAsia" w:eastAsiaTheme="minorEastAsia"/>
          <w:sz w:val="24"/>
        </w:rPr>
        <w:t>底层基础：以通识教育课程为根基，涵盖思想政治、外语、数学、体育等知识，培养学生基本素养和学习能力。其中，数学分析、高等代数等数学课程为后续经济统计分析和建模打下基础；英语课程助力学生具备国际交流和阅读外文文献的能力。</w:t>
      </w:r>
    </w:p>
    <w:p w14:paraId="2CF017C9">
      <w:pPr>
        <w:adjustRightInd w:val="0"/>
        <w:snapToGrid w:val="0"/>
        <w:spacing w:line="480" w:lineRule="exact"/>
        <w:ind w:firstLine="480" w:firstLineChars="200"/>
        <w:rPr>
          <w:rFonts w:eastAsiaTheme="minorEastAsia"/>
          <w:sz w:val="24"/>
        </w:rPr>
      </w:pPr>
      <w:r>
        <w:rPr>
          <w:rFonts w:hint="eastAsia" w:eastAsiaTheme="minorEastAsia"/>
          <w:sz w:val="24"/>
        </w:rPr>
        <w:t>学科支撑：微观经济学、宏观经济学、政治经济学、金融学、会计学等课程帮助学生理解市场机制、宏观经济政策和经济发展规律；概率论、数理统计、统计与数据科学导论、国民经济核算等课程为学生提供扎实的统计理论基础；统计编程基础、Python数据分析等软件课程为学生进行统计分析打下基础。</w:t>
      </w:r>
    </w:p>
    <w:p w14:paraId="17854FEA">
      <w:pPr>
        <w:adjustRightInd w:val="0"/>
        <w:snapToGrid w:val="0"/>
        <w:spacing w:line="480" w:lineRule="exact"/>
        <w:ind w:firstLine="480" w:firstLineChars="200"/>
        <w:rPr>
          <w:rFonts w:eastAsiaTheme="minorEastAsia"/>
          <w:sz w:val="24"/>
        </w:rPr>
      </w:pPr>
      <w:r>
        <w:rPr>
          <w:rFonts w:hint="eastAsia" w:eastAsiaTheme="minorEastAsia"/>
          <w:sz w:val="24"/>
        </w:rPr>
        <w:t>专业核心：围绕经济、统计分析方法，开展调查与抽样技术、应用回归分析、多元统计分析、时间序列分析、经济统计方法与模型等课程。以经济学理论和统计学方法为基础，依托数据分析工具和编程技术，协助学生进行经济数据的收集、处理、分析和预测。</w:t>
      </w:r>
    </w:p>
    <w:p w14:paraId="73FD2364">
      <w:pPr>
        <w:adjustRightInd w:val="0"/>
        <w:snapToGrid w:val="0"/>
        <w:spacing w:line="480" w:lineRule="exact"/>
        <w:ind w:firstLine="480" w:firstLineChars="200"/>
        <w:rPr>
          <w:rFonts w:eastAsiaTheme="minorEastAsia"/>
          <w:sz w:val="24"/>
        </w:rPr>
      </w:pPr>
      <w:r>
        <w:rPr>
          <w:rFonts w:hint="eastAsia" w:eastAsiaTheme="minorEastAsia"/>
          <w:sz w:val="24"/>
        </w:rPr>
        <w:t>数字化赋能：通过机器学习与量化投资、神经网络与深度学习等现代信息技术课程，使学生能够利用大数据和人工智能技术提升经济统计分析的效率和决策的科学性，适应数字化时代的经济统计工作需求。</w:t>
      </w:r>
    </w:p>
    <w:p w14:paraId="39011B8B">
      <w:pPr>
        <w:adjustRightInd w:val="0"/>
        <w:snapToGrid w:val="0"/>
        <w:spacing w:line="480" w:lineRule="exact"/>
        <w:ind w:firstLine="480" w:firstLineChars="200"/>
        <w:rPr>
          <w:rFonts w:eastAsiaTheme="minorEastAsia"/>
          <w:sz w:val="24"/>
        </w:rPr>
      </w:pPr>
      <w:r>
        <w:rPr>
          <w:rFonts w:hint="eastAsia" w:eastAsiaTheme="minorEastAsia"/>
          <w:sz w:val="24"/>
        </w:rPr>
        <w:t>专业拓展与实践：通过专业提升课和专业拓展课，学生可根据自身兴趣和职业规划深入学习特定领域知识，如优化方法、贝叶斯统计、非参数统计等。同时，实践环节将所学知识应用于实际工作，培养学生解决实际问题的能力。</w:t>
      </w:r>
    </w:p>
    <w:p w14:paraId="5E93E45B">
      <w:pPr>
        <w:adjustRightInd w:val="0"/>
        <w:snapToGrid w:val="0"/>
        <w:spacing w:before="120" w:beforeLines="50" w:line="480" w:lineRule="exact"/>
        <w:ind w:firstLine="560" w:firstLineChars="200"/>
        <w:rPr>
          <w:rFonts w:eastAsia="黑体"/>
          <w:sz w:val="28"/>
          <w:szCs w:val="28"/>
        </w:rPr>
      </w:pPr>
      <w:r>
        <w:rPr>
          <w:rFonts w:eastAsia="黑体"/>
          <w:sz w:val="28"/>
          <w:szCs w:val="28"/>
        </w:rPr>
        <w:t>五、学制</w:t>
      </w:r>
      <w:r>
        <w:rPr>
          <w:rFonts w:hint="eastAsia" w:eastAsia="黑体"/>
          <w:sz w:val="28"/>
          <w:szCs w:val="28"/>
        </w:rPr>
        <w:t>、</w:t>
      </w:r>
      <w:r>
        <w:rPr>
          <w:rFonts w:eastAsia="黑体"/>
          <w:sz w:val="28"/>
          <w:szCs w:val="28"/>
        </w:rPr>
        <w:t>学位及毕业条件</w:t>
      </w:r>
    </w:p>
    <w:p w14:paraId="43CD5F18">
      <w:pPr>
        <w:adjustRightInd w:val="0"/>
        <w:snapToGrid w:val="0"/>
        <w:spacing w:line="480" w:lineRule="exact"/>
        <w:ind w:firstLine="480" w:firstLineChars="200"/>
        <w:rPr>
          <w:rFonts w:eastAsiaTheme="minorEastAsia"/>
          <w:sz w:val="24"/>
        </w:rPr>
      </w:pPr>
      <w:r>
        <w:rPr>
          <w:rFonts w:eastAsiaTheme="minorEastAsia"/>
          <w:sz w:val="24"/>
        </w:rPr>
        <w:t>学制：</w:t>
      </w:r>
      <w:r>
        <w:rPr>
          <w:rFonts w:hint="eastAsia" w:eastAsiaTheme="minorEastAsia"/>
          <w:sz w:val="24"/>
        </w:rPr>
        <w:t>本专业基本学制为四年，实行弹性修业年限制度，学生在校修业年限可以提前至三年或延长至六年，修满规定的学分准予毕业。</w:t>
      </w:r>
    </w:p>
    <w:p w14:paraId="494D3F77">
      <w:pPr>
        <w:adjustRightInd w:val="0"/>
        <w:snapToGrid w:val="0"/>
        <w:spacing w:line="480" w:lineRule="exact"/>
        <w:ind w:firstLine="480" w:firstLineChars="200"/>
        <w:rPr>
          <w:rFonts w:eastAsiaTheme="minorEastAsia"/>
          <w:sz w:val="24"/>
        </w:rPr>
      </w:pPr>
      <w:r>
        <w:rPr>
          <w:rFonts w:eastAsiaTheme="minorEastAsia"/>
          <w:sz w:val="24"/>
        </w:rPr>
        <w:t>学位：</w:t>
      </w:r>
      <w:r>
        <w:rPr>
          <w:rFonts w:hint="eastAsia" w:eastAsiaTheme="minorEastAsia"/>
          <w:sz w:val="24"/>
        </w:rPr>
        <w:t>符合学士学位授予条件者，授予经济学学士学位</w:t>
      </w:r>
      <w:r>
        <w:rPr>
          <w:rFonts w:eastAsiaTheme="minorEastAsia"/>
          <w:sz w:val="24"/>
        </w:rPr>
        <w:t>。</w:t>
      </w:r>
    </w:p>
    <w:p w14:paraId="0B9F1ED6">
      <w:pPr>
        <w:adjustRightInd w:val="0"/>
        <w:snapToGrid w:val="0"/>
        <w:spacing w:line="480" w:lineRule="exact"/>
        <w:ind w:firstLine="480" w:firstLineChars="200"/>
        <w:rPr>
          <w:rFonts w:eastAsiaTheme="minorEastAsia"/>
          <w:sz w:val="24"/>
        </w:rPr>
      </w:pPr>
      <w:r>
        <w:rPr>
          <w:rFonts w:eastAsiaTheme="minorEastAsia"/>
          <w:sz w:val="24"/>
        </w:rPr>
        <w:t>毕业条件：学生在规定的学习年限内，</w:t>
      </w:r>
      <w:r>
        <w:rPr>
          <w:rFonts w:hint="eastAsia" w:eastAsiaTheme="minorEastAsia"/>
          <w:sz w:val="24"/>
        </w:rPr>
        <w:t>完成</w:t>
      </w:r>
      <w:r>
        <w:rPr>
          <w:rFonts w:eastAsiaTheme="minorEastAsia"/>
          <w:sz w:val="24"/>
        </w:rPr>
        <w:t>培养方案</w:t>
      </w:r>
      <w:r>
        <w:rPr>
          <w:rFonts w:hint="eastAsia" w:eastAsiaTheme="minorEastAsia"/>
          <w:sz w:val="24"/>
        </w:rPr>
        <w:t>要求的最低</w:t>
      </w:r>
      <w:r>
        <w:rPr>
          <w:rFonts w:eastAsiaTheme="minorEastAsia"/>
          <w:sz w:val="24"/>
        </w:rPr>
        <w:t>总学分</w:t>
      </w:r>
      <w:r>
        <w:rPr>
          <w:rFonts w:hint="eastAsia" w:eastAsiaTheme="minorEastAsia"/>
          <w:sz w:val="24"/>
        </w:rPr>
        <w:t>140</w:t>
      </w:r>
      <w:r>
        <w:rPr>
          <w:rFonts w:eastAsiaTheme="minorEastAsia"/>
          <w:sz w:val="24"/>
        </w:rPr>
        <w:t>学分</w:t>
      </w:r>
      <w:r>
        <w:rPr>
          <w:rFonts w:hint="eastAsia" w:eastAsiaTheme="minorEastAsia"/>
          <w:sz w:val="24"/>
        </w:rPr>
        <w:t>。</w:t>
      </w:r>
      <w:r>
        <w:rPr>
          <w:rFonts w:eastAsiaTheme="minorEastAsia"/>
          <w:sz w:val="24"/>
        </w:rPr>
        <w:t>其中</w:t>
      </w:r>
      <w:r>
        <w:rPr>
          <w:rFonts w:hint="eastAsia" w:eastAsiaTheme="minorEastAsia"/>
          <w:sz w:val="24"/>
        </w:rPr>
        <w:t>：</w:t>
      </w:r>
    </w:p>
    <w:tbl>
      <w:tblPr>
        <w:tblStyle w:val="15"/>
        <w:tblW w:w="73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5"/>
        <w:gridCol w:w="2643"/>
        <w:gridCol w:w="1302"/>
        <w:gridCol w:w="1351"/>
      </w:tblGrid>
      <w:tr w14:paraId="4243C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tcBorders>
              <w:top w:val="single" w:color="auto" w:sz="4" w:space="0"/>
              <w:left w:val="single" w:color="auto" w:sz="4" w:space="0"/>
              <w:bottom w:val="single" w:color="auto" w:sz="4" w:space="0"/>
              <w:right w:val="single" w:color="auto" w:sz="4" w:space="0"/>
            </w:tcBorders>
            <w:vAlign w:val="center"/>
          </w:tcPr>
          <w:p w14:paraId="136DA0DD">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教学环节</w:t>
            </w:r>
          </w:p>
        </w:tc>
        <w:tc>
          <w:tcPr>
            <w:tcW w:w="2643" w:type="dxa"/>
            <w:tcBorders>
              <w:top w:val="single" w:color="auto" w:sz="4" w:space="0"/>
              <w:left w:val="single" w:color="auto" w:sz="4" w:space="0"/>
              <w:bottom w:val="single" w:color="auto" w:sz="4" w:space="0"/>
              <w:right w:val="single" w:color="auto" w:sz="4" w:space="0"/>
            </w:tcBorders>
            <w:vAlign w:val="center"/>
          </w:tcPr>
          <w:p w14:paraId="3BA909FD">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课程类别</w:t>
            </w:r>
          </w:p>
        </w:tc>
        <w:tc>
          <w:tcPr>
            <w:tcW w:w="1302" w:type="dxa"/>
            <w:tcBorders>
              <w:top w:val="single" w:color="auto" w:sz="4" w:space="0"/>
              <w:left w:val="single" w:color="auto" w:sz="4" w:space="0"/>
              <w:bottom w:val="single" w:color="auto" w:sz="4" w:space="0"/>
              <w:right w:val="single" w:color="auto" w:sz="4" w:space="0"/>
            </w:tcBorders>
            <w:vAlign w:val="center"/>
          </w:tcPr>
          <w:p w14:paraId="61203E3F">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门数</w:t>
            </w:r>
          </w:p>
        </w:tc>
        <w:tc>
          <w:tcPr>
            <w:tcW w:w="1351" w:type="dxa"/>
            <w:tcBorders>
              <w:top w:val="single" w:color="auto" w:sz="4" w:space="0"/>
              <w:left w:val="single" w:color="auto" w:sz="4" w:space="0"/>
              <w:bottom w:val="single" w:color="auto" w:sz="4" w:space="0"/>
              <w:right w:val="single" w:color="auto" w:sz="4" w:space="0"/>
            </w:tcBorders>
            <w:vAlign w:val="center"/>
          </w:tcPr>
          <w:p w14:paraId="5DEC8720">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学分</w:t>
            </w:r>
          </w:p>
        </w:tc>
      </w:tr>
      <w:tr w14:paraId="5B902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vAlign w:val="center"/>
          </w:tcPr>
          <w:p w14:paraId="6F26D030">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sz w:val="24"/>
              </w:rPr>
              <w:t>通识教育</w:t>
            </w:r>
          </w:p>
        </w:tc>
        <w:tc>
          <w:tcPr>
            <w:tcW w:w="2643" w:type="dxa"/>
            <w:tcBorders>
              <w:top w:val="single" w:color="auto" w:sz="4" w:space="0"/>
              <w:left w:val="single" w:color="auto" w:sz="4" w:space="0"/>
              <w:bottom w:val="single" w:color="auto" w:sz="4" w:space="0"/>
              <w:right w:val="single" w:color="auto" w:sz="4" w:space="0"/>
            </w:tcBorders>
            <w:vAlign w:val="center"/>
          </w:tcPr>
          <w:p w14:paraId="02688A19">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sz w:val="24"/>
              </w:rPr>
              <w:t>通识教育必修课</w:t>
            </w:r>
          </w:p>
        </w:tc>
        <w:tc>
          <w:tcPr>
            <w:tcW w:w="1302" w:type="dxa"/>
            <w:tcBorders>
              <w:top w:val="single" w:color="auto" w:sz="4" w:space="0"/>
              <w:left w:val="single" w:color="auto" w:sz="4" w:space="0"/>
              <w:right w:val="single" w:color="auto" w:sz="4" w:space="0"/>
            </w:tcBorders>
            <w:vAlign w:val="center"/>
          </w:tcPr>
          <w:p w14:paraId="68030DDF">
            <w:pPr>
              <w:jc w:val="center"/>
              <w:rPr>
                <w:rFonts w:eastAsiaTheme="minorEastAsia"/>
                <w:sz w:val="24"/>
              </w:rPr>
            </w:pPr>
            <w:r>
              <w:rPr>
                <w:rFonts w:hint="eastAsia" w:eastAsiaTheme="minorEastAsia"/>
                <w:sz w:val="24"/>
              </w:rPr>
              <w:t>23</w:t>
            </w:r>
          </w:p>
        </w:tc>
        <w:tc>
          <w:tcPr>
            <w:tcW w:w="1351" w:type="dxa"/>
            <w:tcBorders>
              <w:top w:val="single" w:color="auto" w:sz="4" w:space="0"/>
              <w:left w:val="single" w:color="auto" w:sz="4" w:space="0"/>
              <w:right w:val="single" w:color="auto" w:sz="4" w:space="0"/>
            </w:tcBorders>
            <w:vAlign w:val="center"/>
          </w:tcPr>
          <w:p w14:paraId="70004D24">
            <w:pPr>
              <w:jc w:val="center"/>
              <w:rPr>
                <w:rFonts w:eastAsiaTheme="minorEastAsia"/>
                <w:sz w:val="24"/>
              </w:rPr>
            </w:pPr>
            <w:r>
              <w:rPr>
                <w:rFonts w:hint="eastAsia" w:eastAsiaTheme="minorEastAsia"/>
                <w:sz w:val="24"/>
              </w:rPr>
              <w:t>49</w:t>
            </w:r>
          </w:p>
        </w:tc>
      </w:tr>
      <w:tr w14:paraId="253E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vAlign w:val="center"/>
          </w:tcPr>
          <w:p w14:paraId="17DF9F87">
            <w:pPr>
              <w:jc w:val="center"/>
              <w:rPr>
                <w:rFonts w:asciiTheme="minorEastAsia" w:hAnsiTheme="minorEastAsia" w:eastAsiaTheme="minorEastAsia" w:cstheme="minorEastAsia"/>
                <w:sz w:val="24"/>
              </w:rPr>
            </w:pPr>
          </w:p>
        </w:tc>
        <w:tc>
          <w:tcPr>
            <w:tcW w:w="2643" w:type="dxa"/>
            <w:tcBorders>
              <w:top w:val="single" w:color="auto" w:sz="4" w:space="0"/>
              <w:left w:val="single" w:color="auto" w:sz="4" w:space="0"/>
              <w:bottom w:val="single" w:color="auto" w:sz="4" w:space="0"/>
              <w:right w:val="single" w:color="auto" w:sz="4" w:space="0"/>
            </w:tcBorders>
            <w:vAlign w:val="center"/>
          </w:tcPr>
          <w:p w14:paraId="1BB37B9C">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通识教育选修课</w:t>
            </w:r>
          </w:p>
        </w:tc>
        <w:tc>
          <w:tcPr>
            <w:tcW w:w="1302" w:type="dxa"/>
            <w:tcBorders>
              <w:top w:val="single" w:color="auto" w:sz="4" w:space="0"/>
              <w:left w:val="single" w:color="auto" w:sz="4" w:space="0"/>
              <w:right w:val="single" w:color="auto" w:sz="4" w:space="0"/>
            </w:tcBorders>
            <w:vAlign w:val="center"/>
          </w:tcPr>
          <w:p w14:paraId="4C2CECD7">
            <w:pPr>
              <w:jc w:val="center"/>
              <w:rPr>
                <w:sz w:val="24"/>
              </w:rPr>
            </w:pPr>
            <w:r>
              <w:rPr>
                <w:rFonts w:hint="eastAsia"/>
                <w:sz w:val="24"/>
              </w:rPr>
              <w:t>——</w:t>
            </w:r>
          </w:p>
        </w:tc>
        <w:tc>
          <w:tcPr>
            <w:tcW w:w="1351" w:type="dxa"/>
            <w:tcBorders>
              <w:top w:val="single" w:color="auto" w:sz="4" w:space="0"/>
              <w:left w:val="single" w:color="auto" w:sz="4" w:space="0"/>
              <w:right w:val="single" w:color="auto" w:sz="4" w:space="0"/>
            </w:tcBorders>
            <w:vAlign w:val="center"/>
          </w:tcPr>
          <w:p w14:paraId="7CDBA4B6">
            <w:pPr>
              <w:jc w:val="center"/>
              <w:rPr>
                <w:sz w:val="24"/>
              </w:rPr>
            </w:pPr>
            <w:r>
              <w:rPr>
                <w:rFonts w:hint="eastAsia"/>
                <w:sz w:val="24"/>
              </w:rPr>
              <w:t>&gt;=10</w:t>
            </w:r>
          </w:p>
        </w:tc>
      </w:tr>
      <w:tr w14:paraId="21B9C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vAlign w:val="center"/>
          </w:tcPr>
          <w:p w14:paraId="64C997BF">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专业教育</w:t>
            </w:r>
          </w:p>
        </w:tc>
        <w:tc>
          <w:tcPr>
            <w:tcW w:w="2643" w:type="dxa"/>
            <w:tcBorders>
              <w:top w:val="single" w:color="auto" w:sz="4" w:space="0"/>
              <w:left w:val="single" w:color="auto" w:sz="4" w:space="0"/>
              <w:bottom w:val="single" w:color="auto" w:sz="4" w:space="0"/>
              <w:right w:val="single" w:color="auto" w:sz="4" w:space="0"/>
            </w:tcBorders>
            <w:vAlign w:val="center"/>
          </w:tcPr>
          <w:p w14:paraId="60A6E443">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专业必修课</w:t>
            </w:r>
          </w:p>
        </w:tc>
        <w:tc>
          <w:tcPr>
            <w:tcW w:w="1302" w:type="dxa"/>
            <w:tcBorders>
              <w:top w:val="single" w:color="auto" w:sz="4" w:space="0"/>
              <w:left w:val="single" w:color="auto" w:sz="4" w:space="0"/>
              <w:right w:val="single" w:color="auto" w:sz="4" w:space="0"/>
            </w:tcBorders>
            <w:vAlign w:val="center"/>
          </w:tcPr>
          <w:p w14:paraId="2B5D48EF">
            <w:pPr>
              <w:jc w:val="center"/>
              <w:rPr>
                <w:rFonts w:eastAsiaTheme="minorEastAsia"/>
                <w:sz w:val="24"/>
              </w:rPr>
            </w:pPr>
            <w:r>
              <w:rPr>
                <w:rFonts w:hint="eastAsia" w:eastAsiaTheme="minorEastAsia"/>
                <w:sz w:val="24"/>
              </w:rPr>
              <w:t>11</w:t>
            </w:r>
          </w:p>
        </w:tc>
        <w:tc>
          <w:tcPr>
            <w:tcW w:w="1351" w:type="dxa"/>
            <w:tcBorders>
              <w:top w:val="single" w:color="auto" w:sz="4" w:space="0"/>
              <w:left w:val="single" w:color="auto" w:sz="4" w:space="0"/>
              <w:right w:val="single" w:color="auto" w:sz="4" w:space="0"/>
            </w:tcBorders>
            <w:vAlign w:val="center"/>
          </w:tcPr>
          <w:p w14:paraId="35EF2840">
            <w:pPr>
              <w:jc w:val="center"/>
              <w:rPr>
                <w:rFonts w:eastAsiaTheme="minorEastAsia"/>
                <w:sz w:val="24"/>
              </w:rPr>
            </w:pPr>
            <w:r>
              <w:rPr>
                <w:rFonts w:hint="eastAsia" w:eastAsiaTheme="minorEastAsia"/>
                <w:sz w:val="24"/>
              </w:rPr>
              <w:t>28</w:t>
            </w:r>
          </w:p>
        </w:tc>
      </w:tr>
      <w:tr w14:paraId="6CA87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vAlign w:val="center"/>
          </w:tcPr>
          <w:p w14:paraId="4CAB098C">
            <w:pPr>
              <w:widowControl/>
              <w:jc w:val="center"/>
              <w:rPr>
                <w:rFonts w:asciiTheme="minorEastAsia" w:hAnsiTheme="minorEastAsia" w:eastAsiaTheme="minorEastAsia" w:cstheme="minorEastAsia"/>
                <w:sz w:val="24"/>
              </w:rPr>
            </w:pPr>
          </w:p>
        </w:tc>
        <w:tc>
          <w:tcPr>
            <w:tcW w:w="2643" w:type="dxa"/>
            <w:tcBorders>
              <w:top w:val="single" w:color="auto" w:sz="4" w:space="0"/>
              <w:left w:val="single" w:color="auto" w:sz="4" w:space="0"/>
              <w:bottom w:val="single" w:color="auto" w:sz="4" w:space="0"/>
              <w:right w:val="single" w:color="auto" w:sz="4" w:space="0"/>
            </w:tcBorders>
            <w:vAlign w:val="center"/>
          </w:tcPr>
          <w:p w14:paraId="538BD344">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专业选修课</w:t>
            </w:r>
          </w:p>
        </w:tc>
        <w:tc>
          <w:tcPr>
            <w:tcW w:w="1302" w:type="dxa"/>
            <w:tcBorders>
              <w:left w:val="single" w:color="auto" w:sz="4" w:space="0"/>
              <w:right w:val="single" w:color="auto" w:sz="4" w:space="0"/>
            </w:tcBorders>
            <w:vAlign w:val="center"/>
          </w:tcPr>
          <w:p w14:paraId="1A254541">
            <w:pPr>
              <w:jc w:val="center"/>
              <w:rPr>
                <w:rFonts w:eastAsiaTheme="minorEastAsia"/>
                <w:sz w:val="24"/>
              </w:rPr>
            </w:pPr>
            <w:r>
              <w:rPr>
                <w:rFonts w:hint="eastAsia" w:eastAsiaTheme="minorEastAsia"/>
                <w:sz w:val="24"/>
              </w:rPr>
              <w:t>18</w:t>
            </w:r>
          </w:p>
        </w:tc>
        <w:tc>
          <w:tcPr>
            <w:tcW w:w="1351" w:type="dxa"/>
            <w:tcBorders>
              <w:left w:val="single" w:color="auto" w:sz="4" w:space="0"/>
              <w:right w:val="single" w:color="auto" w:sz="4" w:space="0"/>
            </w:tcBorders>
            <w:vAlign w:val="center"/>
          </w:tcPr>
          <w:p w14:paraId="24ADADA9">
            <w:pPr>
              <w:jc w:val="center"/>
              <w:rPr>
                <w:rFonts w:eastAsiaTheme="minorEastAsia"/>
                <w:sz w:val="24"/>
              </w:rPr>
            </w:pPr>
            <w:r>
              <w:rPr>
                <w:rFonts w:hint="eastAsia" w:eastAsiaTheme="minorEastAsia"/>
                <w:sz w:val="24"/>
              </w:rPr>
              <w:t>27</w:t>
            </w:r>
          </w:p>
        </w:tc>
      </w:tr>
      <w:tr w14:paraId="35C65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361BD562">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实践教育（不含课堂实验学分）</w:t>
            </w:r>
          </w:p>
        </w:tc>
        <w:tc>
          <w:tcPr>
            <w:tcW w:w="1302" w:type="dxa"/>
            <w:tcBorders>
              <w:left w:val="single" w:color="auto" w:sz="4" w:space="0"/>
              <w:right w:val="single" w:color="auto" w:sz="4" w:space="0"/>
            </w:tcBorders>
            <w:vAlign w:val="center"/>
          </w:tcPr>
          <w:p w14:paraId="4284346E">
            <w:pPr>
              <w:jc w:val="center"/>
              <w:rPr>
                <w:rFonts w:eastAsiaTheme="minorEastAsia"/>
                <w:sz w:val="24"/>
              </w:rPr>
            </w:pPr>
          </w:p>
        </w:tc>
        <w:tc>
          <w:tcPr>
            <w:tcW w:w="1351" w:type="dxa"/>
            <w:tcBorders>
              <w:left w:val="single" w:color="auto" w:sz="4" w:space="0"/>
              <w:right w:val="single" w:color="auto" w:sz="4" w:space="0"/>
            </w:tcBorders>
            <w:vAlign w:val="center"/>
          </w:tcPr>
          <w:p w14:paraId="479118B9">
            <w:pPr>
              <w:jc w:val="center"/>
              <w:rPr>
                <w:rFonts w:eastAsiaTheme="minorEastAsia"/>
                <w:sz w:val="24"/>
              </w:rPr>
            </w:pPr>
            <w:r>
              <w:rPr>
                <w:rFonts w:hint="eastAsia" w:eastAsiaTheme="minorEastAsia"/>
                <w:sz w:val="24"/>
              </w:rPr>
              <w:t>2</w:t>
            </w:r>
            <w:r>
              <w:rPr>
                <w:rFonts w:eastAsiaTheme="minorEastAsia"/>
                <w:sz w:val="24"/>
              </w:rPr>
              <w:t>7</w:t>
            </w:r>
          </w:p>
        </w:tc>
      </w:tr>
      <w:tr w14:paraId="15973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22E29CD9">
            <w:pPr>
              <w:jc w:val="center"/>
              <w:rPr>
                <w:rFonts w:eastAsiaTheme="minorEastAsia"/>
                <w:sz w:val="24"/>
              </w:rPr>
            </w:pPr>
            <w:r>
              <w:rPr>
                <w:rFonts w:hint="eastAsia" w:eastAsiaTheme="minorEastAsia"/>
                <w:sz w:val="24"/>
              </w:rPr>
              <w:t>体质健康测试</w:t>
            </w:r>
          </w:p>
        </w:tc>
        <w:tc>
          <w:tcPr>
            <w:tcW w:w="2653" w:type="dxa"/>
            <w:gridSpan w:val="2"/>
            <w:tcBorders>
              <w:left w:val="single" w:color="auto" w:sz="4" w:space="0"/>
              <w:right w:val="single" w:color="auto" w:sz="4" w:space="0"/>
            </w:tcBorders>
            <w:vAlign w:val="center"/>
          </w:tcPr>
          <w:p w14:paraId="2519F85B">
            <w:pPr>
              <w:jc w:val="center"/>
              <w:rPr>
                <w:rFonts w:eastAsiaTheme="minorEastAsia"/>
                <w:sz w:val="24"/>
              </w:rPr>
            </w:pPr>
            <w:r>
              <w:rPr>
                <w:rFonts w:hint="eastAsia" w:eastAsiaTheme="minorEastAsia"/>
                <w:sz w:val="24"/>
              </w:rPr>
              <w:t>通过</w:t>
            </w:r>
          </w:p>
        </w:tc>
      </w:tr>
      <w:tr w14:paraId="2B2C4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4C6044CD">
            <w:pPr>
              <w:jc w:val="center"/>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总计</w:t>
            </w:r>
          </w:p>
        </w:tc>
        <w:tc>
          <w:tcPr>
            <w:tcW w:w="1302" w:type="dxa"/>
            <w:tcBorders>
              <w:left w:val="single" w:color="auto" w:sz="4" w:space="0"/>
              <w:bottom w:val="single" w:color="auto" w:sz="4" w:space="0"/>
              <w:right w:val="single" w:color="auto" w:sz="4" w:space="0"/>
            </w:tcBorders>
            <w:vAlign w:val="center"/>
          </w:tcPr>
          <w:p w14:paraId="1149917D">
            <w:pPr>
              <w:jc w:val="center"/>
              <w:rPr>
                <w:rFonts w:eastAsiaTheme="minorEastAsia"/>
                <w:sz w:val="24"/>
              </w:rPr>
            </w:pPr>
          </w:p>
        </w:tc>
        <w:tc>
          <w:tcPr>
            <w:tcW w:w="1351" w:type="dxa"/>
            <w:tcBorders>
              <w:left w:val="single" w:color="auto" w:sz="4" w:space="0"/>
              <w:bottom w:val="single" w:color="auto" w:sz="4" w:space="0"/>
              <w:right w:val="single" w:color="auto" w:sz="4" w:space="0"/>
            </w:tcBorders>
            <w:vAlign w:val="center"/>
          </w:tcPr>
          <w:p w14:paraId="091AF372">
            <w:pPr>
              <w:jc w:val="center"/>
              <w:rPr>
                <w:rFonts w:eastAsiaTheme="minorEastAsia"/>
                <w:b/>
                <w:bCs/>
                <w:sz w:val="24"/>
              </w:rPr>
            </w:pPr>
            <w:r>
              <w:rPr>
                <w:rFonts w:hint="eastAsia" w:eastAsiaTheme="minorEastAsia"/>
                <w:b/>
                <w:bCs/>
                <w:sz w:val="24"/>
              </w:rPr>
              <w:t>14</w:t>
            </w:r>
            <w:r>
              <w:rPr>
                <w:rFonts w:eastAsiaTheme="minorEastAsia"/>
                <w:b/>
                <w:bCs/>
                <w:sz w:val="24"/>
              </w:rPr>
              <w:t>1</w:t>
            </w:r>
          </w:p>
        </w:tc>
      </w:tr>
    </w:tbl>
    <w:p w14:paraId="2E18D35D">
      <w:pPr>
        <w:adjustRightInd w:val="0"/>
        <w:snapToGrid w:val="0"/>
        <w:spacing w:before="120" w:beforeLines="50" w:line="480" w:lineRule="exact"/>
        <w:ind w:firstLine="560" w:firstLineChars="200"/>
        <w:rPr>
          <w:rFonts w:eastAsia="黑体"/>
          <w:sz w:val="28"/>
          <w:szCs w:val="28"/>
        </w:rPr>
      </w:pPr>
      <w:r>
        <w:rPr>
          <w:rFonts w:hint="eastAsia" w:eastAsia="黑体"/>
          <w:sz w:val="28"/>
          <w:szCs w:val="28"/>
        </w:rPr>
        <w:t>六、学分一览表</w:t>
      </w:r>
    </w:p>
    <w:p w14:paraId="4941F8FA">
      <w:pPr>
        <w:pStyle w:val="36"/>
        <w:widowControl/>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总学分一览表</w:t>
      </w:r>
    </w:p>
    <w:tbl>
      <w:tblPr>
        <w:tblStyle w:val="15"/>
        <w:tblW w:w="8302" w:type="dxa"/>
        <w:jc w:val="center"/>
        <w:tblLayout w:type="autofit"/>
        <w:tblCellMar>
          <w:top w:w="0" w:type="dxa"/>
          <w:left w:w="108" w:type="dxa"/>
          <w:bottom w:w="0" w:type="dxa"/>
          <w:right w:w="108" w:type="dxa"/>
        </w:tblCellMar>
      </w:tblPr>
      <w:tblGrid>
        <w:gridCol w:w="892"/>
        <w:gridCol w:w="1548"/>
        <w:gridCol w:w="711"/>
        <w:gridCol w:w="1538"/>
        <w:gridCol w:w="767"/>
        <w:gridCol w:w="11"/>
        <w:gridCol w:w="1396"/>
        <w:gridCol w:w="1428"/>
        <w:gridCol w:w="11"/>
      </w:tblGrid>
      <w:tr w14:paraId="3826F96B">
        <w:tblPrEx>
          <w:tblCellMar>
            <w:top w:w="0" w:type="dxa"/>
            <w:left w:w="108" w:type="dxa"/>
            <w:bottom w:w="0" w:type="dxa"/>
            <w:right w:w="108" w:type="dxa"/>
          </w:tblCellMar>
        </w:tblPrEx>
        <w:trPr>
          <w:trHeight w:val="454" w:hRule="atLeast"/>
          <w:jc w:val="center"/>
        </w:trPr>
        <w:tc>
          <w:tcPr>
            <w:tcW w:w="892" w:type="dxa"/>
            <w:tcBorders>
              <w:top w:val="single" w:color="000000" w:sz="12" w:space="0"/>
              <w:bottom w:val="single" w:color="000000" w:sz="6" w:space="0"/>
              <w:right w:val="single" w:color="000000" w:sz="6" w:space="0"/>
            </w:tcBorders>
            <w:shd w:val="clear" w:color="auto" w:fill="auto"/>
            <w:noWrap/>
            <w:vAlign w:val="center"/>
          </w:tcPr>
          <w:p w14:paraId="02FFA1B2">
            <w:pPr>
              <w:widowControl/>
              <w:jc w:val="center"/>
              <w:rPr>
                <w:rFonts w:ascii="宋体" w:hAnsi="宋体"/>
                <w:b/>
                <w:kern w:val="0"/>
                <w:szCs w:val="21"/>
              </w:rPr>
            </w:pPr>
            <w:r>
              <w:rPr>
                <w:rFonts w:hint="eastAsia" w:ascii="宋体" w:hAnsi="宋体"/>
                <w:b/>
                <w:kern w:val="0"/>
                <w:szCs w:val="21"/>
              </w:rPr>
              <w:t>总学分</w:t>
            </w:r>
          </w:p>
        </w:tc>
        <w:tc>
          <w:tcPr>
            <w:tcW w:w="4575" w:type="dxa"/>
            <w:gridSpan w:val="5"/>
            <w:tcBorders>
              <w:top w:val="single" w:color="000000" w:sz="12" w:space="0"/>
              <w:left w:val="single" w:color="000000" w:sz="6" w:space="0"/>
              <w:bottom w:val="single" w:color="000000" w:sz="6" w:space="0"/>
              <w:right w:val="single" w:color="000000" w:sz="6" w:space="0"/>
            </w:tcBorders>
            <w:shd w:val="clear" w:color="auto" w:fill="auto"/>
            <w:noWrap/>
            <w:vAlign w:val="center"/>
          </w:tcPr>
          <w:p w14:paraId="128228D6">
            <w:pPr>
              <w:widowControl/>
              <w:jc w:val="center"/>
              <w:rPr>
                <w:rFonts w:ascii="宋体" w:hAnsi="宋体"/>
                <w:b/>
                <w:kern w:val="0"/>
                <w:szCs w:val="21"/>
              </w:rPr>
            </w:pPr>
            <w:r>
              <w:rPr>
                <w:rFonts w:hint="eastAsia" w:ascii="宋体" w:hAnsi="宋体"/>
                <w:b/>
                <w:kern w:val="0"/>
                <w:szCs w:val="21"/>
              </w:rPr>
              <w:t>教学方式</w:t>
            </w:r>
          </w:p>
        </w:tc>
        <w:tc>
          <w:tcPr>
            <w:tcW w:w="2835" w:type="dxa"/>
            <w:gridSpan w:val="3"/>
            <w:tcBorders>
              <w:top w:val="single" w:color="000000" w:sz="12" w:space="0"/>
              <w:left w:val="single" w:color="000000" w:sz="6" w:space="0"/>
              <w:bottom w:val="single" w:color="000000" w:sz="6" w:space="0"/>
            </w:tcBorders>
            <w:shd w:val="clear" w:color="auto" w:fill="auto"/>
            <w:noWrap/>
            <w:vAlign w:val="center"/>
          </w:tcPr>
          <w:p w14:paraId="5FFE7156">
            <w:pPr>
              <w:widowControl/>
              <w:jc w:val="center"/>
              <w:rPr>
                <w:rFonts w:ascii="宋体" w:hAnsi="宋体"/>
                <w:b/>
                <w:kern w:val="0"/>
                <w:szCs w:val="21"/>
              </w:rPr>
            </w:pPr>
            <w:r>
              <w:rPr>
                <w:rFonts w:hint="eastAsia" w:ascii="宋体" w:hAnsi="宋体"/>
                <w:b/>
                <w:kern w:val="0"/>
                <w:szCs w:val="21"/>
              </w:rPr>
              <w:t>理论与实践教学比例（%）</w:t>
            </w:r>
          </w:p>
        </w:tc>
      </w:tr>
      <w:tr w14:paraId="69BECE0F">
        <w:tblPrEx>
          <w:tblCellMar>
            <w:top w:w="0" w:type="dxa"/>
            <w:left w:w="108" w:type="dxa"/>
            <w:bottom w:w="0" w:type="dxa"/>
            <w:right w:w="108" w:type="dxa"/>
          </w:tblCellMar>
        </w:tblPrEx>
        <w:trPr>
          <w:gridAfter w:val="1"/>
          <w:wAfter w:w="11" w:type="dxa"/>
          <w:trHeight w:val="454" w:hRule="atLeast"/>
          <w:jc w:val="center"/>
        </w:trPr>
        <w:tc>
          <w:tcPr>
            <w:tcW w:w="892" w:type="dxa"/>
            <w:vMerge w:val="restart"/>
            <w:tcBorders>
              <w:top w:val="single" w:color="000000" w:sz="6" w:space="0"/>
              <w:bottom w:val="single" w:color="000000" w:sz="8" w:space="0"/>
              <w:right w:val="single" w:color="000000" w:sz="6" w:space="0"/>
            </w:tcBorders>
            <w:shd w:val="clear" w:color="auto" w:fill="auto"/>
            <w:vAlign w:val="center"/>
          </w:tcPr>
          <w:p w14:paraId="747A45A4">
            <w:pPr>
              <w:widowControl/>
              <w:jc w:val="center"/>
              <w:rPr>
                <w:rFonts w:ascii="宋体" w:hAnsi="宋体"/>
                <w:kern w:val="0"/>
                <w:szCs w:val="21"/>
              </w:rPr>
            </w:pP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65123721">
            <w:pPr>
              <w:widowControl/>
              <w:jc w:val="center"/>
              <w:rPr>
                <w:rFonts w:ascii="宋体" w:hAnsi="宋体"/>
                <w:kern w:val="0"/>
                <w:szCs w:val="21"/>
              </w:rPr>
            </w:pPr>
            <w:r>
              <w:rPr>
                <w:rFonts w:hint="eastAsia" w:ascii="宋体" w:hAnsi="宋体"/>
                <w:kern w:val="0"/>
                <w:szCs w:val="21"/>
              </w:rPr>
              <w:t>课堂教学环节</w:t>
            </w:r>
          </w:p>
        </w:tc>
        <w:tc>
          <w:tcPr>
            <w:tcW w:w="711"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5DF4DBC1">
            <w:pPr>
              <w:widowControl/>
              <w:jc w:val="center"/>
              <w:rPr>
                <w:rFonts w:ascii="宋体" w:hAnsi="宋体"/>
                <w:kern w:val="0"/>
                <w:szCs w:val="21"/>
              </w:rPr>
            </w:pPr>
            <w:r>
              <w:rPr>
                <w:rFonts w:hint="eastAsia" w:ascii="宋体" w:hAnsi="宋体"/>
                <w:kern w:val="0"/>
                <w:szCs w:val="21"/>
              </w:rPr>
              <w:t>114</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2CCCB0C1">
            <w:pPr>
              <w:widowControl/>
              <w:jc w:val="center"/>
              <w:rPr>
                <w:rFonts w:ascii="宋体" w:hAnsi="宋体"/>
                <w:kern w:val="0"/>
                <w:szCs w:val="21"/>
              </w:rPr>
            </w:pPr>
            <w:r>
              <w:rPr>
                <w:rFonts w:hint="eastAsia" w:ascii="宋体" w:hAnsi="宋体"/>
                <w:kern w:val="0"/>
                <w:szCs w:val="21"/>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C4A4C78">
            <w:pPr>
              <w:widowControl/>
              <w:jc w:val="center"/>
              <w:rPr>
                <w:rFonts w:ascii="宋体" w:hAnsi="宋体"/>
                <w:kern w:val="0"/>
                <w:szCs w:val="21"/>
              </w:rPr>
            </w:pPr>
            <w:r>
              <w:rPr>
                <w:rFonts w:hint="eastAsia" w:ascii="宋体" w:hAnsi="宋体"/>
                <w:kern w:val="0"/>
                <w:szCs w:val="21"/>
              </w:rPr>
              <w:t>101</w:t>
            </w:r>
          </w:p>
        </w:tc>
        <w:tc>
          <w:tcPr>
            <w:tcW w:w="1407" w:type="dxa"/>
            <w:gridSpan w:val="2"/>
            <w:tcBorders>
              <w:top w:val="single" w:color="000000" w:sz="6" w:space="0"/>
              <w:left w:val="single" w:color="000000" w:sz="6" w:space="0"/>
              <w:bottom w:val="single" w:color="000000" w:sz="6" w:space="0"/>
              <w:right w:val="single" w:color="000000" w:sz="6" w:space="0"/>
            </w:tcBorders>
            <w:shd w:val="clear" w:color="auto" w:fill="auto"/>
            <w:vAlign w:val="center"/>
          </w:tcPr>
          <w:p w14:paraId="59D4F281">
            <w:pPr>
              <w:widowControl/>
              <w:jc w:val="center"/>
              <w:rPr>
                <w:rFonts w:ascii="宋体" w:hAnsi="宋体"/>
                <w:kern w:val="0"/>
                <w:szCs w:val="21"/>
              </w:rPr>
            </w:pPr>
            <w:r>
              <w:rPr>
                <w:rFonts w:hint="eastAsia" w:ascii="宋体" w:hAnsi="宋体"/>
                <w:kern w:val="0"/>
                <w:szCs w:val="21"/>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14:paraId="78883C98">
            <w:pPr>
              <w:widowControl/>
              <w:jc w:val="center"/>
              <w:rPr>
                <w:rFonts w:ascii="宋体" w:hAnsi="宋体"/>
                <w:kern w:val="0"/>
                <w:szCs w:val="21"/>
              </w:rPr>
            </w:pPr>
            <w:r>
              <w:rPr>
                <w:rFonts w:hint="eastAsia" w:ascii="宋体" w:hAnsi="宋体"/>
                <w:kern w:val="0"/>
                <w:szCs w:val="21"/>
              </w:rPr>
              <w:t>72%</w:t>
            </w:r>
          </w:p>
        </w:tc>
      </w:tr>
      <w:tr w14:paraId="3A940470">
        <w:tblPrEx>
          <w:tblCellMar>
            <w:top w:w="0" w:type="dxa"/>
            <w:left w:w="108" w:type="dxa"/>
            <w:bottom w:w="0" w:type="dxa"/>
            <w:right w:w="108" w:type="dxa"/>
          </w:tblCellMar>
        </w:tblPrEx>
        <w:trPr>
          <w:gridAfter w:val="1"/>
          <w:wAfter w:w="11" w:type="dxa"/>
          <w:trHeight w:val="454" w:hRule="atLeast"/>
          <w:jc w:val="center"/>
        </w:trPr>
        <w:tc>
          <w:tcPr>
            <w:tcW w:w="892" w:type="dxa"/>
            <w:vMerge w:val="continue"/>
            <w:tcBorders>
              <w:top w:val="single" w:color="000000" w:sz="8" w:space="0"/>
              <w:bottom w:val="single" w:color="000000" w:sz="8" w:space="0"/>
              <w:right w:val="single" w:color="000000" w:sz="6" w:space="0"/>
            </w:tcBorders>
            <w:vAlign w:val="center"/>
          </w:tcPr>
          <w:p w14:paraId="03893536">
            <w:pPr>
              <w:widowControl/>
              <w:jc w:val="left"/>
              <w:rPr>
                <w:rFonts w:ascii="宋体" w:hAnsi="宋体"/>
                <w:kern w:val="0"/>
                <w:szCs w:val="21"/>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14:paraId="6EA15FD1">
            <w:pPr>
              <w:widowControl/>
              <w:jc w:val="left"/>
              <w:rPr>
                <w:rFonts w:ascii="宋体" w:hAnsi="宋体"/>
                <w:kern w:val="0"/>
                <w:szCs w:val="21"/>
              </w:rPr>
            </w:pPr>
          </w:p>
        </w:tc>
        <w:tc>
          <w:tcPr>
            <w:tcW w:w="711" w:type="dxa"/>
            <w:vMerge w:val="continue"/>
            <w:tcBorders>
              <w:top w:val="single" w:color="000000" w:sz="8" w:space="0"/>
              <w:left w:val="single" w:color="000000" w:sz="6" w:space="0"/>
              <w:bottom w:val="single" w:color="000000" w:sz="6" w:space="0"/>
              <w:right w:val="single" w:color="000000" w:sz="6" w:space="0"/>
            </w:tcBorders>
            <w:vAlign w:val="center"/>
          </w:tcPr>
          <w:p w14:paraId="08D5853B">
            <w:pPr>
              <w:widowControl/>
              <w:jc w:val="left"/>
              <w:rPr>
                <w:rFonts w:ascii="宋体" w:hAnsi="宋体"/>
                <w:kern w:val="0"/>
                <w:szCs w:val="21"/>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D81A8CF">
            <w:pPr>
              <w:widowControl/>
              <w:jc w:val="center"/>
              <w:rPr>
                <w:rFonts w:ascii="宋体" w:hAnsi="宋体"/>
                <w:kern w:val="0"/>
                <w:szCs w:val="21"/>
              </w:rPr>
            </w:pPr>
            <w:r>
              <w:rPr>
                <w:rFonts w:hint="eastAsia" w:ascii="宋体" w:hAnsi="宋体"/>
                <w:kern w:val="0"/>
                <w:szCs w:val="21"/>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86693BC">
            <w:pPr>
              <w:widowControl/>
              <w:jc w:val="center"/>
              <w:rPr>
                <w:rFonts w:ascii="宋体" w:hAnsi="宋体"/>
                <w:kern w:val="0"/>
                <w:szCs w:val="21"/>
              </w:rPr>
            </w:pPr>
            <w:r>
              <w:rPr>
                <w:rFonts w:hint="eastAsia" w:ascii="宋体" w:hAnsi="宋体"/>
                <w:kern w:val="0"/>
                <w:szCs w:val="21"/>
              </w:rPr>
              <w:t>13</w:t>
            </w:r>
          </w:p>
        </w:tc>
        <w:tc>
          <w:tcPr>
            <w:tcW w:w="1407" w:type="dxa"/>
            <w:gridSpan w:val="2"/>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40C420D0">
            <w:pPr>
              <w:widowControl/>
              <w:jc w:val="center"/>
              <w:rPr>
                <w:rFonts w:ascii="宋体" w:hAnsi="宋体"/>
                <w:kern w:val="0"/>
                <w:szCs w:val="21"/>
              </w:rPr>
            </w:pPr>
            <w:r>
              <w:rPr>
                <w:rFonts w:hint="eastAsia" w:ascii="宋体" w:hAnsi="宋体"/>
                <w:kern w:val="0"/>
                <w:szCs w:val="21"/>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14:paraId="16359B55">
            <w:pPr>
              <w:widowControl/>
              <w:jc w:val="center"/>
              <w:rPr>
                <w:rFonts w:ascii="宋体" w:hAnsi="宋体"/>
                <w:kern w:val="0"/>
                <w:szCs w:val="21"/>
              </w:rPr>
            </w:pPr>
            <w:r>
              <w:rPr>
                <w:rFonts w:hint="eastAsia" w:ascii="宋体" w:hAnsi="宋体"/>
                <w:kern w:val="0"/>
                <w:szCs w:val="21"/>
              </w:rPr>
              <w:t>28%</w:t>
            </w:r>
          </w:p>
        </w:tc>
      </w:tr>
      <w:tr w14:paraId="22A37F1F">
        <w:tblPrEx>
          <w:tblCellMar>
            <w:top w:w="0" w:type="dxa"/>
            <w:left w:w="108" w:type="dxa"/>
            <w:bottom w:w="0" w:type="dxa"/>
            <w:right w:w="108" w:type="dxa"/>
          </w:tblCellMar>
        </w:tblPrEx>
        <w:trPr>
          <w:gridAfter w:val="1"/>
          <w:wAfter w:w="11" w:type="dxa"/>
          <w:trHeight w:val="454" w:hRule="atLeast"/>
          <w:jc w:val="center"/>
        </w:trPr>
        <w:tc>
          <w:tcPr>
            <w:tcW w:w="892" w:type="dxa"/>
            <w:vMerge w:val="continue"/>
            <w:tcBorders>
              <w:top w:val="single" w:color="000000" w:sz="8" w:space="0"/>
              <w:bottom w:val="single" w:color="000000" w:sz="12" w:space="0"/>
              <w:right w:val="single" w:color="000000" w:sz="6" w:space="0"/>
            </w:tcBorders>
            <w:vAlign w:val="center"/>
          </w:tcPr>
          <w:p w14:paraId="30995D8D">
            <w:pPr>
              <w:widowControl/>
              <w:spacing w:line="560" w:lineRule="exact"/>
              <w:jc w:val="left"/>
              <w:rPr>
                <w:rFonts w:ascii="宋体" w:hAnsi="宋体"/>
                <w:kern w:val="0"/>
                <w:szCs w:val="21"/>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2DC98366">
            <w:pPr>
              <w:widowControl/>
              <w:spacing w:line="560" w:lineRule="exact"/>
              <w:jc w:val="center"/>
              <w:rPr>
                <w:rFonts w:ascii="宋体" w:hAnsi="宋体"/>
                <w:kern w:val="0"/>
                <w:szCs w:val="21"/>
              </w:rPr>
            </w:pPr>
            <w:r>
              <w:rPr>
                <w:rFonts w:hint="eastAsia" w:ascii="宋体" w:hAnsi="宋体"/>
                <w:kern w:val="0"/>
                <w:szCs w:val="21"/>
              </w:rPr>
              <w:t>课外教学环节</w:t>
            </w:r>
          </w:p>
        </w:tc>
        <w:tc>
          <w:tcPr>
            <w:tcW w:w="711"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4A8F6ADD">
            <w:pPr>
              <w:spacing w:line="560" w:lineRule="exact"/>
              <w:jc w:val="center"/>
              <w:rPr>
                <w:rFonts w:ascii="宋体" w:hAnsi="宋体"/>
                <w:kern w:val="0"/>
                <w:szCs w:val="21"/>
              </w:rPr>
            </w:pPr>
            <w:r>
              <w:rPr>
                <w:rFonts w:ascii="宋体" w:hAnsi="宋体"/>
                <w:kern w:val="0"/>
                <w:szCs w:val="21"/>
              </w:rPr>
              <w:t>27</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598CD96E">
            <w:pPr>
              <w:widowControl/>
              <w:spacing w:line="560" w:lineRule="exact"/>
              <w:jc w:val="center"/>
              <w:rPr>
                <w:rFonts w:ascii="宋体" w:hAnsi="宋体"/>
                <w:kern w:val="0"/>
                <w:szCs w:val="21"/>
              </w:rPr>
            </w:pPr>
            <w:r>
              <w:rPr>
                <w:rFonts w:hint="eastAsia" w:ascii="宋体" w:hAnsi="宋体"/>
                <w:kern w:val="0"/>
                <w:szCs w:val="21"/>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653F18E6">
            <w:pPr>
              <w:widowControl/>
              <w:spacing w:line="560" w:lineRule="exact"/>
              <w:jc w:val="center"/>
              <w:rPr>
                <w:rFonts w:ascii="宋体" w:hAnsi="宋体"/>
                <w:kern w:val="0"/>
                <w:szCs w:val="21"/>
              </w:rPr>
            </w:pPr>
            <w:r>
              <w:rPr>
                <w:rFonts w:ascii="宋体" w:hAnsi="宋体"/>
                <w:kern w:val="0"/>
                <w:szCs w:val="21"/>
              </w:rPr>
              <w:t>27</w:t>
            </w:r>
          </w:p>
        </w:tc>
        <w:tc>
          <w:tcPr>
            <w:tcW w:w="1407" w:type="dxa"/>
            <w:gridSpan w:val="2"/>
            <w:vMerge w:val="continue"/>
            <w:tcBorders>
              <w:top w:val="single" w:color="000000" w:sz="8" w:space="0"/>
              <w:left w:val="single" w:color="000000" w:sz="6" w:space="0"/>
              <w:bottom w:val="single" w:color="000000" w:sz="12" w:space="0"/>
              <w:right w:val="single" w:color="000000" w:sz="6" w:space="0"/>
            </w:tcBorders>
            <w:vAlign w:val="center"/>
          </w:tcPr>
          <w:p w14:paraId="45A0546E">
            <w:pPr>
              <w:widowControl/>
              <w:spacing w:line="560" w:lineRule="exact"/>
              <w:jc w:val="left"/>
              <w:rPr>
                <w:rFonts w:ascii="宋体" w:hAnsi="宋体"/>
                <w:kern w:val="0"/>
                <w:szCs w:val="21"/>
              </w:rPr>
            </w:pPr>
          </w:p>
        </w:tc>
        <w:tc>
          <w:tcPr>
            <w:tcW w:w="1428" w:type="dxa"/>
            <w:vMerge w:val="continue"/>
            <w:tcBorders>
              <w:top w:val="single" w:color="000000" w:sz="8" w:space="0"/>
              <w:left w:val="single" w:color="000000" w:sz="6" w:space="0"/>
              <w:bottom w:val="single" w:color="000000" w:sz="12" w:space="0"/>
            </w:tcBorders>
            <w:vAlign w:val="center"/>
          </w:tcPr>
          <w:p w14:paraId="6099A4A7">
            <w:pPr>
              <w:widowControl/>
              <w:spacing w:line="560" w:lineRule="exact"/>
              <w:jc w:val="left"/>
              <w:rPr>
                <w:rFonts w:ascii="宋体" w:hAnsi="宋体"/>
                <w:kern w:val="0"/>
                <w:szCs w:val="21"/>
              </w:rPr>
            </w:pPr>
          </w:p>
        </w:tc>
      </w:tr>
    </w:tbl>
    <w:p w14:paraId="4114DC9B">
      <w:pPr>
        <w:pStyle w:val="13"/>
        <w:tabs>
          <w:tab w:val="left" w:pos="1380"/>
        </w:tabs>
        <w:spacing w:before="0" w:after="0" w:line="560" w:lineRule="exact"/>
        <w:rPr>
          <w:rFonts w:ascii="仿宋_GB2312" w:hAnsi="仿宋" w:eastAsia="仿宋_GB2312"/>
          <w:bCs/>
          <w:sz w:val="32"/>
          <w:szCs w:val="32"/>
        </w:rPr>
      </w:pPr>
    </w:p>
    <w:p w14:paraId="27100D68">
      <w:pPr>
        <w:pStyle w:val="36"/>
        <w:widowControl/>
        <w:numPr>
          <w:ilvl w:val="0"/>
          <w:numId w:val="1"/>
        </w:numPr>
        <w:spacing w:line="360" w:lineRule="auto"/>
        <w:ind w:firstLine="0" w:firstLineChars="0"/>
        <w:jc w:val="center"/>
        <w:rPr>
          <w:rFonts w:ascii="仿宋_GB2312" w:hAnsi="仿宋" w:eastAsia="仿宋_GB2312"/>
          <w:bCs/>
          <w:sz w:val="32"/>
          <w:szCs w:val="32"/>
        </w:rPr>
      </w:pPr>
      <w:r>
        <w:rPr>
          <w:rFonts w:hint="eastAsia" w:ascii="宋体" w:hAnsi="宋体"/>
          <w:b/>
          <w:bCs/>
          <w:kern w:val="0"/>
          <w:sz w:val="24"/>
          <w:szCs w:val="32"/>
        </w:rPr>
        <w:t>课堂教学学分分配表</w:t>
      </w:r>
    </w:p>
    <w:tbl>
      <w:tblPr>
        <w:tblStyle w:val="15"/>
        <w:tblW w:w="8165"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115"/>
        <w:gridCol w:w="2762"/>
        <w:gridCol w:w="1592"/>
        <w:gridCol w:w="1696"/>
      </w:tblGrid>
      <w:tr w14:paraId="1DDA3FB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tcPr>
          <w:p w14:paraId="7EAADACA">
            <w:pPr>
              <w:adjustRightInd w:val="0"/>
              <w:snapToGrid w:val="0"/>
              <w:spacing w:line="360" w:lineRule="exact"/>
              <w:jc w:val="center"/>
              <w:rPr>
                <w:rFonts w:ascii="宋体" w:hAnsi="宋体"/>
                <w:b/>
                <w:bCs/>
                <w:szCs w:val="21"/>
              </w:rPr>
            </w:pPr>
            <w:r>
              <w:rPr>
                <w:rFonts w:hint="eastAsia" w:ascii="宋体" w:hAnsi="宋体"/>
                <w:b/>
                <w:bCs/>
                <w:szCs w:val="21"/>
              </w:rPr>
              <w:t>教学环节</w:t>
            </w:r>
          </w:p>
        </w:tc>
        <w:tc>
          <w:tcPr>
            <w:tcW w:w="2762" w:type="dxa"/>
          </w:tcPr>
          <w:p w14:paraId="2D671138">
            <w:pPr>
              <w:adjustRightInd w:val="0"/>
              <w:snapToGrid w:val="0"/>
              <w:spacing w:line="360" w:lineRule="exact"/>
              <w:jc w:val="center"/>
              <w:rPr>
                <w:rFonts w:ascii="宋体" w:hAnsi="宋体"/>
                <w:b/>
                <w:bCs/>
                <w:szCs w:val="21"/>
              </w:rPr>
            </w:pPr>
            <w:r>
              <w:rPr>
                <w:rFonts w:hint="eastAsia" w:ascii="宋体" w:hAnsi="宋体"/>
                <w:b/>
                <w:bCs/>
                <w:szCs w:val="21"/>
              </w:rPr>
              <w:t>课程类别</w:t>
            </w:r>
          </w:p>
        </w:tc>
        <w:tc>
          <w:tcPr>
            <w:tcW w:w="1592" w:type="dxa"/>
          </w:tcPr>
          <w:p w14:paraId="55DA1A05">
            <w:pPr>
              <w:adjustRightInd w:val="0"/>
              <w:snapToGrid w:val="0"/>
              <w:spacing w:line="360" w:lineRule="exact"/>
              <w:jc w:val="center"/>
              <w:rPr>
                <w:rFonts w:ascii="宋体" w:hAnsi="宋体"/>
                <w:b/>
                <w:bCs/>
                <w:szCs w:val="21"/>
              </w:rPr>
            </w:pPr>
            <w:r>
              <w:rPr>
                <w:rFonts w:hint="eastAsia" w:ascii="宋体" w:hAnsi="宋体"/>
                <w:b/>
                <w:bCs/>
                <w:szCs w:val="21"/>
              </w:rPr>
              <w:t>门数</w:t>
            </w:r>
          </w:p>
        </w:tc>
        <w:tc>
          <w:tcPr>
            <w:tcW w:w="1696" w:type="dxa"/>
          </w:tcPr>
          <w:p w14:paraId="77D1F701">
            <w:pPr>
              <w:adjustRightInd w:val="0"/>
              <w:snapToGrid w:val="0"/>
              <w:spacing w:line="360" w:lineRule="exact"/>
              <w:jc w:val="center"/>
              <w:rPr>
                <w:rFonts w:ascii="宋体" w:hAnsi="宋体"/>
                <w:b/>
                <w:bCs/>
                <w:szCs w:val="21"/>
              </w:rPr>
            </w:pPr>
            <w:r>
              <w:rPr>
                <w:rFonts w:hint="eastAsia" w:ascii="宋体" w:hAnsi="宋体"/>
                <w:b/>
                <w:bCs/>
                <w:szCs w:val="21"/>
              </w:rPr>
              <w:t>学分</w:t>
            </w:r>
          </w:p>
        </w:tc>
      </w:tr>
      <w:tr w14:paraId="5A4FA73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vAlign w:val="center"/>
          </w:tcPr>
          <w:p w14:paraId="089390EB">
            <w:pPr>
              <w:adjustRightInd w:val="0"/>
              <w:snapToGrid w:val="0"/>
              <w:spacing w:line="360" w:lineRule="exact"/>
              <w:jc w:val="center"/>
              <w:rPr>
                <w:rFonts w:ascii="宋体" w:hAnsi="宋体"/>
                <w:szCs w:val="21"/>
              </w:rPr>
            </w:pPr>
            <w:r>
              <w:rPr>
                <w:rFonts w:hint="eastAsia" w:ascii="宋体" w:hAnsi="宋体"/>
                <w:szCs w:val="21"/>
              </w:rPr>
              <w:t>通识教育</w:t>
            </w:r>
          </w:p>
        </w:tc>
        <w:tc>
          <w:tcPr>
            <w:tcW w:w="2762" w:type="dxa"/>
          </w:tcPr>
          <w:p w14:paraId="5EED523B">
            <w:pPr>
              <w:adjustRightInd w:val="0"/>
              <w:snapToGrid w:val="0"/>
              <w:spacing w:line="360" w:lineRule="exact"/>
              <w:jc w:val="center"/>
              <w:rPr>
                <w:rFonts w:ascii="宋体" w:hAnsi="宋体"/>
                <w:szCs w:val="21"/>
              </w:rPr>
            </w:pPr>
            <w:r>
              <w:rPr>
                <w:rFonts w:hint="eastAsia" w:ascii="宋体" w:hAnsi="宋体"/>
                <w:szCs w:val="21"/>
              </w:rPr>
              <w:t>通识教育必修课</w:t>
            </w:r>
          </w:p>
        </w:tc>
        <w:tc>
          <w:tcPr>
            <w:tcW w:w="1592" w:type="dxa"/>
          </w:tcPr>
          <w:p w14:paraId="46811F30">
            <w:pPr>
              <w:adjustRightInd w:val="0"/>
              <w:snapToGrid w:val="0"/>
              <w:spacing w:line="360" w:lineRule="exact"/>
              <w:jc w:val="center"/>
              <w:rPr>
                <w:rFonts w:ascii="宋体" w:hAnsi="宋体"/>
                <w:szCs w:val="21"/>
              </w:rPr>
            </w:pPr>
            <w:r>
              <w:rPr>
                <w:rFonts w:hint="eastAsia" w:ascii="宋体" w:hAnsi="宋体"/>
                <w:szCs w:val="21"/>
              </w:rPr>
              <w:t>23</w:t>
            </w:r>
          </w:p>
        </w:tc>
        <w:tc>
          <w:tcPr>
            <w:tcW w:w="1696" w:type="dxa"/>
          </w:tcPr>
          <w:p w14:paraId="54BD3D8C">
            <w:pPr>
              <w:adjustRightInd w:val="0"/>
              <w:snapToGrid w:val="0"/>
              <w:spacing w:line="360" w:lineRule="exact"/>
              <w:jc w:val="center"/>
              <w:rPr>
                <w:rFonts w:ascii="宋体" w:hAnsi="宋体"/>
                <w:szCs w:val="21"/>
              </w:rPr>
            </w:pPr>
            <w:r>
              <w:rPr>
                <w:rFonts w:hint="eastAsia" w:ascii="宋体" w:hAnsi="宋体"/>
                <w:szCs w:val="21"/>
              </w:rPr>
              <w:t>49</w:t>
            </w:r>
          </w:p>
        </w:tc>
      </w:tr>
      <w:tr w14:paraId="17849A9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vAlign w:val="center"/>
          </w:tcPr>
          <w:p w14:paraId="1D440D9D">
            <w:pPr>
              <w:adjustRightInd w:val="0"/>
              <w:snapToGrid w:val="0"/>
              <w:spacing w:line="360" w:lineRule="exact"/>
              <w:jc w:val="center"/>
              <w:rPr>
                <w:rFonts w:ascii="宋体" w:hAnsi="宋体"/>
                <w:szCs w:val="21"/>
              </w:rPr>
            </w:pPr>
          </w:p>
        </w:tc>
        <w:tc>
          <w:tcPr>
            <w:tcW w:w="2762" w:type="dxa"/>
          </w:tcPr>
          <w:p w14:paraId="3A61A2CA">
            <w:pPr>
              <w:adjustRightInd w:val="0"/>
              <w:snapToGrid w:val="0"/>
              <w:spacing w:line="360" w:lineRule="exact"/>
              <w:jc w:val="center"/>
              <w:rPr>
                <w:rFonts w:ascii="宋体" w:hAnsi="宋体"/>
                <w:szCs w:val="21"/>
              </w:rPr>
            </w:pPr>
            <w:r>
              <w:rPr>
                <w:rFonts w:hint="eastAsia" w:ascii="宋体" w:hAnsi="宋体"/>
                <w:szCs w:val="21"/>
              </w:rPr>
              <w:t>通识教育选修课</w:t>
            </w:r>
          </w:p>
        </w:tc>
        <w:tc>
          <w:tcPr>
            <w:tcW w:w="1592" w:type="dxa"/>
          </w:tcPr>
          <w:p w14:paraId="4F6EA511">
            <w:pPr>
              <w:adjustRightInd w:val="0"/>
              <w:snapToGrid w:val="0"/>
              <w:spacing w:line="360" w:lineRule="exact"/>
              <w:jc w:val="center"/>
              <w:rPr>
                <w:rFonts w:ascii="宋体" w:hAnsi="宋体"/>
                <w:szCs w:val="21"/>
              </w:rPr>
            </w:pPr>
            <w:r>
              <w:rPr>
                <w:rFonts w:hint="eastAsia"/>
                <w:sz w:val="24"/>
              </w:rPr>
              <w:t>——</w:t>
            </w:r>
          </w:p>
        </w:tc>
        <w:tc>
          <w:tcPr>
            <w:tcW w:w="1696" w:type="dxa"/>
          </w:tcPr>
          <w:p w14:paraId="4C9147F5">
            <w:pPr>
              <w:adjustRightInd w:val="0"/>
              <w:snapToGrid w:val="0"/>
              <w:spacing w:line="360" w:lineRule="exact"/>
              <w:jc w:val="center"/>
              <w:rPr>
                <w:rFonts w:ascii="宋体" w:hAnsi="宋体"/>
                <w:szCs w:val="21"/>
              </w:rPr>
            </w:pPr>
            <w:r>
              <w:rPr>
                <w:rFonts w:hint="eastAsia" w:ascii="宋体" w:hAnsi="宋体"/>
                <w:szCs w:val="21"/>
              </w:rPr>
              <w:t>&gt;=10</w:t>
            </w:r>
          </w:p>
        </w:tc>
      </w:tr>
      <w:tr w14:paraId="034E34C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vAlign w:val="center"/>
          </w:tcPr>
          <w:p w14:paraId="16D699E6">
            <w:pPr>
              <w:tabs>
                <w:tab w:val="center" w:pos="832"/>
              </w:tabs>
              <w:adjustRightInd w:val="0"/>
              <w:snapToGrid w:val="0"/>
              <w:spacing w:line="360" w:lineRule="exact"/>
              <w:jc w:val="center"/>
              <w:rPr>
                <w:rFonts w:ascii="宋体" w:hAnsi="宋体"/>
                <w:szCs w:val="21"/>
              </w:rPr>
            </w:pPr>
            <w:r>
              <w:rPr>
                <w:rFonts w:hint="eastAsia" w:ascii="宋体" w:hAnsi="宋体"/>
                <w:szCs w:val="21"/>
              </w:rPr>
              <w:t>专业教育</w:t>
            </w:r>
          </w:p>
        </w:tc>
        <w:tc>
          <w:tcPr>
            <w:tcW w:w="2762" w:type="dxa"/>
          </w:tcPr>
          <w:p w14:paraId="65FBDD39">
            <w:pPr>
              <w:adjustRightInd w:val="0"/>
              <w:snapToGrid w:val="0"/>
              <w:spacing w:line="360" w:lineRule="exact"/>
              <w:jc w:val="center"/>
              <w:rPr>
                <w:rFonts w:ascii="宋体" w:hAnsi="宋体"/>
                <w:szCs w:val="21"/>
              </w:rPr>
            </w:pPr>
            <w:r>
              <w:rPr>
                <w:rFonts w:hint="eastAsia" w:ascii="宋体" w:hAnsi="宋体"/>
                <w:szCs w:val="21"/>
              </w:rPr>
              <w:t>专业必修课</w:t>
            </w:r>
          </w:p>
        </w:tc>
        <w:tc>
          <w:tcPr>
            <w:tcW w:w="1592" w:type="dxa"/>
          </w:tcPr>
          <w:p w14:paraId="6C2BBFB8">
            <w:pPr>
              <w:adjustRightInd w:val="0"/>
              <w:snapToGrid w:val="0"/>
              <w:spacing w:line="360" w:lineRule="exact"/>
              <w:jc w:val="center"/>
              <w:rPr>
                <w:rFonts w:ascii="宋体" w:hAnsi="宋体"/>
                <w:szCs w:val="21"/>
              </w:rPr>
            </w:pPr>
            <w:r>
              <w:rPr>
                <w:rFonts w:hint="eastAsia" w:ascii="宋体" w:hAnsi="宋体"/>
                <w:szCs w:val="21"/>
              </w:rPr>
              <w:t>11</w:t>
            </w:r>
          </w:p>
        </w:tc>
        <w:tc>
          <w:tcPr>
            <w:tcW w:w="1696" w:type="dxa"/>
          </w:tcPr>
          <w:p w14:paraId="69CCCAD3">
            <w:pPr>
              <w:adjustRightInd w:val="0"/>
              <w:snapToGrid w:val="0"/>
              <w:spacing w:line="360" w:lineRule="exact"/>
              <w:jc w:val="center"/>
              <w:rPr>
                <w:rFonts w:ascii="宋体" w:hAnsi="宋体"/>
                <w:szCs w:val="21"/>
              </w:rPr>
            </w:pPr>
            <w:r>
              <w:rPr>
                <w:rFonts w:hint="eastAsia" w:ascii="宋体" w:hAnsi="宋体"/>
                <w:szCs w:val="21"/>
              </w:rPr>
              <w:t>28</w:t>
            </w:r>
          </w:p>
        </w:tc>
      </w:tr>
      <w:tr w14:paraId="0A76553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tcPr>
          <w:p w14:paraId="70DF61F7">
            <w:pPr>
              <w:adjustRightInd w:val="0"/>
              <w:snapToGrid w:val="0"/>
              <w:spacing w:line="360" w:lineRule="exact"/>
              <w:rPr>
                <w:rFonts w:ascii="宋体" w:hAnsi="宋体"/>
                <w:szCs w:val="21"/>
              </w:rPr>
            </w:pPr>
          </w:p>
        </w:tc>
        <w:tc>
          <w:tcPr>
            <w:tcW w:w="2762" w:type="dxa"/>
          </w:tcPr>
          <w:p w14:paraId="1CC5C070">
            <w:pPr>
              <w:adjustRightInd w:val="0"/>
              <w:snapToGrid w:val="0"/>
              <w:spacing w:line="360" w:lineRule="exact"/>
              <w:jc w:val="center"/>
              <w:rPr>
                <w:rFonts w:ascii="宋体" w:hAnsi="宋体"/>
                <w:szCs w:val="21"/>
              </w:rPr>
            </w:pPr>
            <w:r>
              <w:rPr>
                <w:rFonts w:hint="eastAsia" w:ascii="宋体" w:hAnsi="宋体"/>
                <w:szCs w:val="21"/>
              </w:rPr>
              <w:t>专业选修课</w:t>
            </w:r>
          </w:p>
        </w:tc>
        <w:tc>
          <w:tcPr>
            <w:tcW w:w="1592" w:type="dxa"/>
          </w:tcPr>
          <w:p w14:paraId="3F90ACF1">
            <w:pPr>
              <w:adjustRightInd w:val="0"/>
              <w:snapToGrid w:val="0"/>
              <w:spacing w:line="360" w:lineRule="exact"/>
              <w:jc w:val="center"/>
              <w:rPr>
                <w:rFonts w:ascii="宋体" w:hAnsi="宋体"/>
                <w:szCs w:val="21"/>
              </w:rPr>
            </w:pPr>
            <w:r>
              <w:rPr>
                <w:rFonts w:hint="eastAsia"/>
                <w:sz w:val="24"/>
              </w:rPr>
              <w:t>——</w:t>
            </w:r>
          </w:p>
        </w:tc>
        <w:tc>
          <w:tcPr>
            <w:tcW w:w="1696" w:type="dxa"/>
          </w:tcPr>
          <w:p w14:paraId="5B1F8568">
            <w:pPr>
              <w:adjustRightInd w:val="0"/>
              <w:snapToGrid w:val="0"/>
              <w:spacing w:line="360" w:lineRule="exact"/>
              <w:jc w:val="center"/>
              <w:rPr>
                <w:rFonts w:ascii="宋体" w:hAnsi="宋体"/>
                <w:szCs w:val="21"/>
              </w:rPr>
            </w:pPr>
            <w:r>
              <w:rPr>
                <w:rFonts w:hint="eastAsia" w:ascii="宋体" w:hAnsi="宋体"/>
                <w:szCs w:val="21"/>
              </w:rPr>
              <w:t>&gt;=27</w:t>
            </w:r>
          </w:p>
        </w:tc>
      </w:tr>
      <w:tr w14:paraId="049375A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tcPr>
          <w:p w14:paraId="7141DC95">
            <w:pPr>
              <w:adjustRightInd w:val="0"/>
              <w:snapToGrid w:val="0"/>
              <w:spacing w:line="360" w:lineRule="exact"/>
              <w:jc w:val="center"/>
              <w:rPr>
                <w:rFonts w:ascii="宋体" w:hAnsi="宋体"/>
                <w:b/>
                <w:szCs w:val="21"/>
              </w:rPr>
            </w:pPr>
            <w:r>
              <w:rPr>
                <w:rFonts w:hint="eastAsia" w:ascii="宋体" w:hAnsi="宋体"/>
                <w:b/>
                <w:szCs w:val="21"/>
              </w:rPr>
              <w:t>合计</w:t>
            </w:r>
          </w:p>
        </w:tc>
        <w:tc>
          <w:tcPr>
            <w:tcW w:w="2762" w:type="dxa"/>
          </w:tcPr>
          <w:p w14:paraId="237128BA">
            <w:pPr>
              <w:adjustRightInd w:val="0"/>
              <w:snapToGrid w:val="0"/>
              <w:spacing w:line="360" w:lineRule="exact"/>
              <w:jc w:val="center"/>
              <w:rPr>
                <w:rFonts w:ascii="宋体" w:hAnsi="宋体"/>
                <w:szCs w:val="21"/>
              </w:rPr>
            </w:pPr>
          </w:p>
        </w:tc>
        <w:tc>
          <w:tcPr>
            <w:tcW w:w="1592" w:type="dxa"/>
          </w:tcPr>
          <w:p w14:paraId="17308BA1">
            <w:pPr>
              <w:adjustRightInd w:val="0"/>
              <w:snapToGrid w:val="0"/>
              <w:spacing w:line="360" w:lineRule="exact"/>
              <w:jc w:val="center"/>
              <w:rPr>
                <w:rFonts w:ascii="宋体" w:hAnsi="宋体"/>
                <w:szCs w:val="21"/>
              </w:rPr>
            </w:pPr>
          </w:p>
        </w:tc>
        <w:tc>
          <w:tcPr>
            <w:tcW w:w="1696" w:type="dxa"/>
          </w:tcPr>
          <w:p w14:paraId="02ACD0FA">
            <w:pPr>
              <w:adjustRightInd w:val="0"/>
              <w:snapToGrid w:val="0"/>
              <w:spacing w:line="360" w:lineRule="exact"/>
              <w:jc w:val="center"/>
              <w:rPr>
                <w:rFonts w:ascii="宋体" w:hAnsi="宋体"/>
                <w:b/>
                <w:szCs w:val="21"/>
              </w:rPr>
            </w:pPr>
            <w:r>
              <w:rPr>
                <w:rFonts w:hint="eastAsia" w:ascii="宋体" w:hAnsi="宋体"/>
                <w:b/>
                <w:szCs w:val="21"/>
              </w:rPr>
              <w:t>114</w:t>
            </w:r>
          </w:p>
        </w:tc>
      </w:tr>
    </w:tbl>
    <w:p w14:paraId="33AD930D">
      <w:pPr>
        <w:pStyle w:val="36"/>
        <w:widowControl/>
        <w:numPr>
          <w:ilvl w:val="0"/>
          <w:numId w:val="1"/>
        </w:numPr>
        <w:spacing w:line="360" w:lineRule="auto"/>
        <w:ind w:firstLine="0" w:firstLineChars="0"/>
        <w:jc w:val="center"/>
        <w:rPr>
          <w:rFonts w:ascii="宋体" w:hAnsi="宋体"/>
          <w:b/>
          <w:bCs/>
          <w:kern w:val="0"/>
          <w:sz w:val="24"/>
          <w:szCs w:val="32"/>
        </w:rPr>
      </w:pPr>
    </w:p>
    <w:p w14:paraId="3053E9AB">
      <w:pPr>
        <w:widowControl/>
        <w:jc w:val="left"/>
        <w:rPr>
          <w:rFonts w:ascii="宋体" w:hAnsi="宋体"/>
          <w:b/>
          <w:bCs/>
          <w:kern w:val="0"/>
          <w:sz w:val="24"/>
          <w:szCs w:val="32"/>
        </w:rPr>
      </w:pPr>
      <w:r>
        <w:rPr>
          <w:rFonts w:hint="eastAsia" w:ascii="宋体" w:hAnsi="宋体"/>
          <w:b/>
          <w:bCs/>
          <w:kern w:val="0"/>
          <w:sz w:val="24"/>
          <w:szCs w:val="32"/>
        </w:rPr>
        <w:br w:type="page"/>
      </w:r>
    </w:p>
    <w:p w14:paraId="4C4AFC65">
      <w:pPr>
        <w:pStyle w:val="36"/>
        <w:widowControl/>
        <w:numPr>
          <w:ilvl w:val="0"/>
          <w:numId w:val="1"/>
        </w:numPr>
        <w:spacing w:line="360" w:lineRule="auto"/>
        <w:ind w:firstLine="0" w:firstLineChars="0"/>
        <w:jc w:val="center"/>
        <w:rPr>
          <w:rFonts w:ascii="仿宋_GB2312" w:hAnsi="宋体" w:eastAsia="仿宋_GB2312"/>
          <w:b/>
          <w:bCs/>
          <w:color w:val="000000" w:themeColor="text1"/>
          <w:kern w:val="0"/>
          <w:sz w:val="32"/>
          <w:szCs w:val="32"/>
          <w14:textFill>
            <w14:solidFill>
              <w14:schemeClr w14:val="tx1"/>
            </w14:solidFill>
          </w14:textFill>
        </w:rPr>
      </w:pPr>
      <w:r>
        <w:rPr>
          <w:rFonts w:hint="eastAsia" w:ascii="宋体" w:hAnsi="宋体"/>
          <w:b/>
          <w:bCs/>
          <w:color w:val="000000" w:themeColor="text1"/>
          <w:kern w:val="0"/>
          <w:sz w:val="24"/>
          <w:szCs w:val="32"/>
          <w14:textFill>
            <w14:solidFill>
              <w14:schemeClr w14:val="tx1"/>
            </w14:solidFill>
          </w14:textFill>
        </w:rPr>
        <w:t>实践教学环节一览表</w:t>
      </w:r>
    </w:p>
    <w:tbl>
      <w:tblPr>
        <w:tblStyle w:val="15"/>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381"/>
        <w:gridCol w:w="3027"/>
        <w:gridCol w:w="1413"/>
        <w:gridCol w:w="1254"/>
      </w:tblGrid>
      <w:tr w14:paraId="671BF02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tcBorders>
              <w:bottom w:val="single" w:color="auto" w:sz="4" w:space="0"/>
            </w:tcBorders>
          </w:tcPr>
          <w:p w14:paraId="5898D924">
            <w:pPr>
              <w:adjustRightInd w:val="0"/>
              <w:snapToGrid w:val="0"/>
              <w:spacing w:line="36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类别</w:t>
            </w:r>
          </w:p>
        </w:tc>
        <w:tc>
          <w:tcPr>
            <w:tcW w:w="3027" w:type="dxa"/>
            <w:tcBorders>
              <w:bottom w:val="single" w:color="auto" w:sz="4" w:space="0"/>
            </w:tcBorders>
          </w:tcPr>
          <w:p w14:paraId="3FC8DB91">
            <w:pPr>
              <w:adjustRightInd w:val="0"/>
              <w:snapToGrid w:val="0"/>
              <w:spacing w:line="36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实践环节</w:t>
            </w:r>
          </w:p>
        </w:tc>
        <w:tc>
          <w:tcPr>
            <w:tcW w:w="1413" w:type="dxa"/>
            <w:tcBorders>
              <w:bottom w:val="single" w:color="auto" w:sz="4" w:space="0"/>
            </w:tcBorders>
          </w:tcPr>
          <w:p w14:paraId="2F4EC0A6">
            <w:pPr>
              <w:adjustRightInd w:val="0"/>
              <w:snapToGrid w:val="0"/>
              <w:spacing w:line="36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学期安排</w:t>
            </w:r>
          </w:p>
        </w:tc>
        <w:tc>
          <w:tcPr>
            <w:tcW w:w="1254" w:type="dxa"/>
            <w:tcBorders>
              <w:bottom w:val="single" w:color="auto" w:sz="4" w:space="0"/>
            </w:tcBorders>
          </w:tcPr>
          <w:p w14:paraId="3A832D70">
            <w:pPr>
              <w:adjustRightInd w:val="0"/>
              <w:snapToGrid w:val="0"/>
              <w:spacing w:line="360" w:lineRule="exact"/>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学分</w:t>
            </w:r>
          </w:p>
        </w:tc>
      </w:tr>
      <w:tr w14:paraId="7CADC9A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tcBorders>
              <w:top w:val="single" w:color="auto" w:sz="4" w:space="0"/>
            </w:tcBorders>
            <w:vAlign w:val="center"/>
          </w:tcPr>
          <w:p w14:paraId="4ADC9527">
            <w:pPr>
              <w:adjustRightInd w:val="0"/>
              <w:snapToGrid w:val="0"/>
              <w:spacing w:line="36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实习类</w:t>
            </w:r>
          </w:p>
        </w:tc>
        <w:tc>
          <w:tcPr>
            <w:tcW w:w="3027" w:type="dxa"/>
            <w:tcBorders>
              <w:top w:val="single" w:color="auto" w:sz="4" w:space="0"/>
            </w:tcBorders>
          </w:tcPr>
          <w:p w14:paraId="1E8E1C88">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军事技能</w:t>
            </w:r>
          </w:p>
        </w:tc>
        <w:tc>
          <w:tcPr>
            <w:tcW w:w="1413" w:type="dxa"/>
            <w:tcBorders>
              <w:top w:val="single" w:color="auto" w:sz="4" w:space="0"/>
            </w:tcBorders>
          </w:tcPr>
          <w:p w14:paraId="205376D1">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c>
          <w:tcPr>
            <w:tcW w:w="1254" w:type="dxa"/>
            <w:tcBorders>
              <w:top w:val="single" w:color="auto" w:sz="4" w:space="0"/>
            </w:tcBorders>
          </w:tcPr>
          <w:p w14:paraId="1E891A1B">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r>
      <w:tr w14:paraId="491077D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2506498">
            <w:pPr>
              <w:adjustRightInd w:val="0"/>
              <w:snapToGrid w:val="0"/>
              <w:spacing w:line="360" w:lineRule="exact"/>
              <w:jc w:val="center"/>
              <w:rPr>
                <w:rFonts w:ascii="宋体" w:hAnsi="宋体"/>
                <w:color w:val="000000" w:themeColor="text1"/>
                <w:szCs w:val="21"/>
                <w14:textFill>
                  <w14:solidFill>
                    <w14:schemeClr w14:val="tx1"/>
                  </w14:solidFill>
                </w14:textFill>
              </w:rPr>
            </w:pPr>
          </w:p>
        </w:tc>
        <w:tc>
          <w:tcPr>
            <w:tcW w:w="3027" w:type="dxa"/>
            <w:vAlign w:val="center"/>
          </w:tcPr>
          <w:p w14:paraId="06F9F27D">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认知实习</w:t>
            </w:r>
          </w:p>
        </w:tc>
        <w:tc>
          <w:tcPr>
            <w:tcW w:w="1413" w:type="dxa"/>
          </w:tcPr>
          <w:p w14:paraId="4E619DCF">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4</w:t>
            </w:r>
          </w:p>
        </w:tc>
        <w:tc>
          <w:tcPr>
            <w:tcW w:w="1254" w:type="dxa"/>
          </w:tcPr>
          <w:p w14:paraId="48220F39">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w:t>
            </w:r>
          </w:p>
        </w:tc>
      </w:tr>
      <w:tr w14:paraId="5F5A2D4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45783825">
            <w:pPr>
              <w:adjustRightInd w:val="0"/>
              <w:snapToGrid w:val="0"/>
              <w:spacing w:line="360" w:lineRule="exact"/>
              <w:jc w:val="center"/>
              <w:rPr>
                <w:rFonts w:ascii="宋体" w:hAnsi="宋体"/>
                <w:color w:val="000000" w:themeColor="text1"/>
                <w:szCs w:val="21"/>
                <w14:textFill>
                  <w14:solidFill>
                    <w14:schemeClr w14:val="tx1"/>
                  </w14:solidFill>
                </w14:textFill>
              </w:rPr>
            </w:pPr>
          </w:p>
        </w:tc>
        <w:tc>
          <w:tcPr>
            <w:tcW w:w="3027" w:type="dxa"/>
          </w:tcPr>
          <w:p w14:paraId="2A3B83C1">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专业实习</w:t>
            </w:r>
          </w:p>
        </w:tc>
        <w:tc>
          <w:tcPr>
            <w:tcW w:w="1413" w:type="dxa"/>
          </w:tcPr>
          <w:p w14:paraId="36B998B1">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w:t>
            </w:r>
          </w:p>
        </w:tc>
        <w:tc>
          <w:tcPr>
            <w:tcW w:w="1254" w:type="dxa"/>
          </w:tcPr>
          <w:p w14:paraId="37A04376">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w:t>
            </w:r>
          </w:p>
        </w:tc>
      </w:tr>
      <w:tr w14:paraId="04F6040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539E955">
            <w:pPr>
              <w:adjustRightInd w:val="0"/>
              <w:snapToGrid w:val="0"/>
              <w:spacing w:line="360" w:lineRule="exact"/>
              <w:jc w:val="center"/>
              <w:rPr>
                <w:rFonts w:ascii="宋体" w:hAnsi="宋体"/>
                <w:color w:val="000000" w:themeColor="text1"/>
                <w:szCs w:val="21"/>
                <w14:textFill>
                  <w14:solidFill>
                    <w14:schemeClr w14:val="tx1"/>
                  </w14:solidFill>
                </w14:textFill>
              </w:rPr>
            </w:pPr>
          </w:p>
        </w:tc>
        <w:tc>
          <w:tcPr>
            <w:tcW w:w="3027" w:type="dxa"/>
          </w:tcPr>
          <w:p w14:paraId="5DA42363">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毕业实习</w:t>
            </w:r>
          </w:p>
        </w:tc>
        <w:tc>
          <w:tcPr>
            <w:tcW w:w="1413" w:type="dxa"/>
          </w:tcPr>
          <w:p w14:paraId="3F0D3382">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8</w:t>
            </w:r>
          </w:p>
        </w:tc>
        <w:tc>
          <w:tcPr>
            <w:tcW w:w="1254" w:type="dxa"/>
          </w:tcPr>
          <w:p w14:paraId="69F3E77F">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r>
      <w:tr w14:paraId="3460AC1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754094D5">
            <w:pPr>
              <w:adjustRightInd w:val="0"/>
              <w:snapToGrid w:val="0"/>
              <w:spacing w:line="360" w:lineRule="exact"/>
              <w:jc w:val="center"/>
              <w:rPr>
                <w:rFonts w:ascii="宋体" w:hAnsi="宋体"/>
                <w:color w:val="000000" w:themeColor="text1"/>
                <w:szCs w:val="21"/>
                <w14:textFill>
                  <w14:solidFill>
                    <w14:schemeClr w14:val="tx1"/>
                  </w14:solidFill>
                </w14:textFill>
              </w:rPr>
            </w:pPr>
          </w:p>
        </w:tc>
        <w:tc>
          <w:tcPr>
            <w:tcW w:w="3027" w:type="dxa"/>
          </w:tcPr>
          <w:p w14:paraId="619AB61D">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毕业设计（论文）</w:t>
            </w:r>
          </w:p>
        </w:tc>
        <w:tc>
          <w:tcPr>
            <w:tcW w:w="1413" w:type="dxa"/>
          </w:tcPr>
          <w:p w14:paraId="2A86B4CA">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8</w:t>
            </w:r>
          </w:p>
        </w:tc>
        <w:tc>
          <w:tcPr>
            <w:tcW w:w="1254" w:type="dxa"/>
          </w:tcPr>
          <w:p w14:paraId="63DA5C0C">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r>
      <w:tr w14:paraId="304E8FB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213BA307">
            <w:pPr>
              <w:adjustRightInd w:val="0"/>
              <w:snapToGrid w:val="0"/>
              <w:spacing w:line="36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素质提升类</w:t>
            </w:r>
            <w:bookmarkStart w:id="0" w:name="_GoBack"/>
            <w:bookmarkEnd w:id="0"/>
          </w:p>
        </w:tc>
        <w:tc>
          <w:tcPr>
            <w:tcW w:w="3027" w:type="dxa"/>
          </w:tcPr>
          <w:p w14:paraId="42723C23">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创新学分</w:t>
            </w:r>
          </w:p>
        </w:tc>
        <w:tc>
          <w:tcPr>
            <w:tcW w:w="1413" w:type="dxa"/>
          </w:tcPr>
          <w:p w14:paraId="70C6F3BA">
            <w:pPr>
              <w:adjustRightInd w:val="0"/>
              <w:snapToGrid w:val="0"/>
              <w:spacing w:line="360" w:lineRule="exact"/>
              <w:jc w:val="center"/>
              <w:rPr>
                <w:color w:val="000000" w:themeColor="text1"/>
                <w:szCs w:val="21"/>
                <w14:textFill>
                  <w14:solidFill>
                    <w14:schemeClr w14:val="tx1"/>
                  </w14:solidFill>
                </w14:textFill>
              </w:rPr>
            </w:pPr>
          </w:p>
        </w:tc>
        <w:tc>
          <w:tcPr>
            <w:tcW w:w="1254" w:type="dxa"/>
            <w:vAlign w:val="center"/>
          </w:tcPr>
          <w:p w14:paraId="6DF73C6D">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r>
      <w:tr w14:paraId="1578D04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2AD8AFD9">
            <w:pPr>
              <w:adjustRightInd w:val="0"/>
              <w:snapToGrid w:val="0"/>
              <w:spacing w:line="360" w:lineRule="exact"/>
              <w:jc w:val="center"/>
              <w:rPr>
                <w:rFonts w:ascii="宋体" w:hAnsi="宋体"/>
                <w:color w:val="000000" w:themeColor="text1"/>
                <w:szCs w:val="21"/>
                <w14:textFill>
                  <w14:solidFill>
                    <w14:schemeClr w14:val="tx1"/>
                  </w14:solidFill>
                </w14:textFill>
              </w:rPr>
            </w:pPr>
          </w:p>
        </w:tc>
        <w:tc>
          <w:tcPr>
            <w:tcW w:w="3027" w:type="dxa"/>
          </w:tcPr>
          <w:p w14:paraId="67D32F23">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第二课堂</w:t>
            </w:r>
          </w:p>
        </w:tc>
        <w:tc>
          <w:tcPr>
            <w:tcW w:w="1413" w:type="dxa"/>
          </w:tcPr>
          <w:p w14:paraId="1A68F7FB">
            <w:pPr>
              <w:adjustRightInd w:val="0"/>
              <w:snapToGrid w:val="0"/>
              <w:spacing w:line="360" w:lineRule="exact"/>
              <w:jc w:val="center"/>
              <w:rPr>
                <w:color w:val="000000" w:themeColor="text1"/>
                <w:szCs w:val="21"/>
                <w14:textFill>
                  <w14:solidFill>
                    <w14:schemeClr w14:val="tx1"/>
                  </w14:solidFill>
                </w14:textFill>
              </w:rPr>
            </w:pPr>
          </w:p>
        </w:tc>
        <w:tc>
          <w:tcPr>
            <w:tcW w:w="1254" w:type="dxa"/>
          </w:tcPr>
          <w:p w14:paraId="52B25147">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r>
      <w:tr w14:paraId="46F1C94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6C10EB12">
            <w:pPr>
              <w:adjustRightInd w:val="0"/>
              <w:snapToGrid w:val="0"/>
              <w:spacing w:line="360" w:lineRule="exact"/>
              <w:jc w:val="center"/>
              <w:rPr>
                <w:rFonts w:ascii="宋体" w:hAnsi="宋体"/>
                <w:color w:val="000000" w:themeColor="text1"/>
                <w:szCs w:val="21"/>
                <w14:textFill>
                  <w14:solidFill>
                    <w14:schemeClr w14:val="tx1"/>
                  </w14:solidFill>
                </w14:textFill>
              </w:rPr>
            </w:pPr>
          </w:p>
        </w:tc>
        <w:tc>
          <w:tcPr>
            <w:tcW w:w="3027" w:type="dxa"/>
          </w:tcPr>
          <w:p w14:paraId="4F8648A0">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劳动类实践课程</w:t>
            </w:r>
          </w:p>
        </w:tc>
        <w:tc>
          <w:tcPr>
            <w:tcW w:w="1413" w:type="dxa"/>
          </w:tcPr>
          <w:p w14:paraId="036E6F67">
            <w:pPr>
              <w:adjustRightInd w:val="0"/>
              <w:snapToGrid w:val="0"/>
              <w:spacing w:line="360" w:lineRule="exact"/>
              <w:jc w:val="center"/>
              <w:rPr>
                <w:color w:val="000000" w:themeColor="text1"/>
                <w:szCs w:val="21"/>
                <w14:textFill>
                  <w14:solidFill>
                    <w14:schemeClr w14:val="tx1"/>
                  </w14:solidFill>
                </w14:textFill>
              </w:rPr>
            </w:pPr>
          </w:p>
        </w:tc>
        <w:tc>
          <w:tcPr>
            <w:tcW w:w="1254" w:type="dxa"/>
          </w:tcPr>
          <w:p w14:paraId="12CD11ED">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w:t>
            </w:r>
          </w:p>
        </w:tc>
      </w:tr>
      <w:tr w14:paraId="170A9CC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060CE2A2">
            <w:pPr>
              <w:adjustRightInd w:val="0"/>
              <w:snapToGrid w:val="0"/>
              <w:spacing w:line="360" w:lineRule="exact"/>
              <w:jc w:val="center"/>
              <w:rPr>
                <w:rFonts w:ascii="宋体" w:hAnsi="宋体"/>
                <w:color w:val="000000" w:themeColor="text1"/>
                <w:szCs w:val="21"/>
                <w14:textFill>
                  <w14:solidFill>
                    <w14:schemeClr w14:val="tx1"/>
                  </w14:solidFill>
                </w14:textFill>
              </w:rPr>
            </w:pPr>
          </w:p>
        </w:tc>
        <w:tc>
          <w:tcPr>
            <w:tcW w:w="3027" w:type="dxa"/>
          </w:tcPr>
          <w:p w14:paraId="375F0CC3">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人工智能导论</w:t>
            </w:r>
          </w:p>
        </w:tc>
        <w:tc>
          <w:tcPr>
            <w:tcW w:w="1413" w:type="dxa"/>
          </w:tcPr>
          <w:p w14:paraId="54795940">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c>
          <w:tcPr>
            <w:tcW w:w="1254" w:type="dxa"/>
          </w:tcPr>
          <w:p w14:paraId="4E61BFDF">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0</w:t>
            </w:r>
            <w:r>
              <w:rPr>
                <w:color w:val="000000" w:themeColor="text1"/>
                <w:szCs w:val="21"/>
                <w14:textFill>
                  <w14:solidFill>
                    <w14:schemeClr w14:val="tx1"/>
                  </w14:solidFill>
                </w14:textFill>
              </w:rPr>
              <w:t>.5</w:t>
            </w:r>
          </w:p>
        </w:tc>
      </w:tr>
      <w:tr w14:paraId="470AB70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0D733FA9">
            <w:pPr>
              <w:adjustRightInd w:val="0"/>
              <w:snapToGrid w:val="0"/>
              <w:spacing w:line="36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思想政治类</w:t>
            </w:r>
          </w:p>
        </w:tc>
        <w:tc>
          <w:tcPr>
            <w:tcW w:w="3027" w:type="dxa"/>
          </w:tcPr>
          <w:p w14:paraId="394945E6">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习近平新时代中国特色社会主义思想概论社会实践</w:t>
            </w:r>
          </w:p>
        </w:tc>
        <w:tc>
          <w:tcPr>
            <w:tcW w:w="1413" w:type="dxa"/>
            <w:vAlign w:val="center"/>
          </w:tcPr>
          <w:p w14:paraId="63AFD7A8">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c>
          <w:tcPr>
            <w:tcW w:w="1254" w:type="dxa"/>
            <w:vAlign w:val="center"/>
          </w:tcPr>
          <w:p w14:paraId="7961E371">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r>
      <w:tr w14:paraId="67A0AF6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4582365A">
            <w:pPr>
              <w:adjustRightInd w:val="0"/>
              <w:snapToGrid w:val="0"/>
              <w:spacing w:line="360" w:lineRule="exact"/>
              <w:rPr>
                <w:rFonts w:ascii="宋体" w:hAnsi="宋体"/>
                <w:color w:val="000000" w:themeColor="text1"/>
                <w:szCs w:val="21"/>
                <w14:textFill>
                  <w14:solidFill>
                    <w14:schemeClr w14:val="tx1"/>
                  </w14:solidFill>
                </w14:textFill>
              </w:rPr>
            </w:pPr>
          </w:p>
        </w:tc>
        <w:tc>
          <w:tcPr>
            <w:tcW w:w="3027" w:type="dxa"/>
          </w:tcPr>
          <w:p w14:paraId="3A2D67AE">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思想道德与法治社会实践</w:t>
            </w:r>
          </w:p>
        </w:tc>
        <w:tc>
          <w:tcPr>
            <w:tcW w:w="1413" w:type="dxa"/>
          </w:tcPr>
          <w:p w14:paraId="4AD1C589">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w:t>
            </w:r>
          </w:p>
        </w:tc>
        <w:tc>
          <w:tcPr>
            <w:tcW w:w="1254" w:type="dxa"/>
          </w:tcPr>
          <w:p w14:paraId="6CB01AEF">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r>
      <w:tr w14:paraId="01302B5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F65B473">
            <w:pPr>
              <w:adjustRightInd w:val="0"/>
              <w:snapToGrid w:val="0"/>
              <w:spacing w:line="360" w:lineRule="exact"/>
              <w:rPr>
                <w:rFonts w:ascii="宋体" w:hAnsi="宋体"/>
                <w:color w:val="000000" w:themeColor="text1"/>
                <w:szCs w:val="21"/>
                <w14:textFill>
                  <w14:solidFill>
                    <w14:schemeClr w14:val="tx1"/>
                  </w14:solidFill>
                </w14:textFill>
              </w:rPr>
            </w:pPr>
          </w:p>
        </w:tc>
        <w:tc>
          <w:tcPr>
            <w:tcW w:w="3027" w:type="dxa"/>
            <w:vAlign w:val="center"/>
          </w:tcPr>
          <w:p w14:paraId="0E98E665">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毛泽东思想与中国特色社会主义理论体系概论社会实践</w:t>
            </w:r>
          </w:p>
        </w:tc>
        <w:tc>
          <w:tcPr>
            <w:tcW w:w="1413" w:type="dxa"/>
          </w:tcPr>
          <w:p w14:paraId="65617ED8">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c>
          <w:tcPr>
            <w:tcW w:w="1254" w:type="dxa"/>
            <w:vAlign w:val="center"/>
          </w:tcPr>
          <w:p w14:paraId="159A752C">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r>
      <w:tr w14:paraId="386219C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7E984FA7">
            <w:pPr>
              <w:adjustRightInd w:val="0"/>
              <w:snapToGrid w:val="0"/>
              <w:spacing w:line="360" w:lineRule="exact"/>
              <w:rPr>
                <w:rFonts w:ascii="宋体" w:hAnsi="宋体"/>
                <w:color w:val="000000" w:themeColor="text1"/>
                <w:szCs w:val="21"/>
                <w14:textFill>
                  <w14:solidFill>
                    <w14:schemeClr w14:val="tx1"/>
                  </w14:solidFill>
                </w14:textFill>
              </w:rPr>
            </w:pPr>
          </w:p>
        </w:tc>
        <w:tc>
          <w:tcPr>
            <w:tcW w:w="3027" w:type="dxa"/>
            <w:vAlign w:val="center"/>
          </w:tcPr>
          <w:p w14:paraId="536C88F9">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中国近现代史纲要社会实践</w:t>
            </w:r>
          </w:p>
        </w:tc>
        <w:tc>
          <w:tcPr>
            <w:tcW w:w="1413" w:type="dxa"/>
          </w:tcPr>
          <w:p w14:paraId="2A685BFD">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w:t>
            </w:r>
          </w:p>
        </w:tc>
        <w:tc>
          <w:tcPr>
            <w:tcW w:w="1254" w:type="dxa"/>
            <w:vAlign w:val="center"/>
          </w:tcPr>
          <w:p w14:paraId="24E6309C">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r>
      <w:tr w14:paraId="55D50A3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29B49DB8">
            <w:pPr>
              <w:adjustRightInd w:val="0"/>
              <w:snapToGrid w:val="0"/>
              <w:spacing w:line="360" w:lineRule="exact"/>
              <w:rPr>
                <w:rFonts w:ascii="宋体" w:hAnsi="宋体"/>
                <w:color w:val="000000" w:themeColor="text1"/>
                <w:szCs w:val="21"/>
                <w14:textFill>
                  <w14:solidFill>
                    <w14:schemeClr w14:val="tx1"/>
                  </w14:solidFill>
                </w14:textFill>
              </w:rPr>
            </w:pPr>
          </w:p>
        </w:tc>
        <w:tc>
          <w:tcPr>
            <w:tcW w:w="3027" w:type="dxa"/>
            <w:vAlign w:val="center"/>
          </w:tcPr>
          <w:p w14:paraId="1B86C69C">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马克思主义基本原理社会实践</w:t>
            </w:r>
          </w:p>
        </w:tc>
        <w:tc>
          <w:tcPr>
            <w:tcW w:w="1413" w:type="dxa"/>
          </w:tcPr>
          <w:p w14:paraId="415DB5BA">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4</w:t>
            </w:r>
          </w:p>
        </w:tc>
        <w:tc>
          <w:tcPr>
            <w:tcW w:w="1254" w:type="dxa"/>
            <w:vAlign w:val="center"/>
          </w:tcPr>
          <w:p w14:paraId="00E48517">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r>
      <w:tr w14:paraId="7C797AE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2530F36A">
            <w:pPr>
              <w:adjustRightInd w:val="0"/>
              <w:snapToGrid w:val="0"/>
              <w:spacing w:line="360" w:lineRule="exact"/>
              <w:rPr>
                <w:rFonts w:ascii="宋体" w:hAnsi="宋体"/>
                <w:color w:val="000000" w:themeColor="text1"/>
                <w:szCs w:val="21"/>
                <w14:textFill>
                  <w14:solidFill>
                    <w14:schemeClr w14:val="tx1"/>
                  </w14:solidFill>
                </w14:textFill>
              </w:rPr>
            </w:pPr>
          </w:p>
        </w:tc>
        <w:tc>
          <w:tcPr>
            <w:tcW w:w="3027" w:type="dxa"/>
          </w:tcPr>
          <w:p w14:paraId="61100D20">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形势</w:t>
            </w:r>
            <w:r>
              <w:rPr>
                <w:rFonts w:ascii="宋体" w:hAnsi="宋体"/>
                <w:color w:val="000000" w:themeColor="text1"/>
                <w:szCs w:val="21"/>
                <w14:textFill>
                  <w14:solidFill>
                    <w14:schemeClr w14:val="tx1"/>
                  </w14:solidFill>
                </w14:textFill>
              </w:rPr>
              <w:t>与政策</w:t>
            </w:r>
            <w:r>
              <w:rPr>
                <w:rFonts w:hint="eastAsia" w:ascii="宋体" w:hAnsi="宋体"/>
                <w:color w:val="000000" w:themeColor="text1"/>
                <w:szCs w:val="21"/>
                <w14:textFill>
                  <w14:solidFill>
                    <w14:schemeClr w14:val="tx1"/>
                  </w14:solidFill>
                </w14:textFill>
              </w:rPr>
              <w:t>（一）</w:t>
            </w:r>
          </w:p>
        </w:tc>
        <w:tc>
          <w:tcPr>
            <w:tcW w:w="1413" w:type="dxa"/>
            <w:vAlign w:val="center"/>
          </w:tcPr>
          <w:p w14:paraId="00396335">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c>
          <w:tcPr>
            <w:tcW w:w="1254" w:type="dxa"/>
            <w:vAlign w:val="center"/>
          </w:tcPr>
          <w:p w14:paraId="5E1FC159">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0.25</w:t>
            </w:r>
          </w:p>
        </w:tc>
      </w:tr>
      <w:tr w14:paraId="7066F6F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0E86AD85">
            <w:pPr>
              <w:adjustRightInd w:val="0"/>
              <w:snapToGrid w:val="0"/>
              <w:spacing w:line="360" w:lineRule="exact"/>
              <w:rPr>
                <w:rFonts w:ascii="宋体" w:hAnsi="宋体"/>
                <w:color w:val="000000" w:themeColor="text1"/>
                <w:szCs w:val="21"/>
                <w14:textFill>
                  <w14:solidFill>
                    <w14:schemeClr w14:val="tx1"/>
                  </w14:solidFill>
                </w14:textFill>
              </w:rPr>
            </w:pPr>
          </w:p>
        </w:tc>
        <w:tc>
          <w:tcPr>
            <w:tcW w:w="3027" w:type="dxa"/>
          </w:tcPr>
          <w:p w14:paraId="5FDF6357">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形势</w:t>
            </w:r>
            <w:r>
              <w:rPr>
                <w:rFonts w:ascii="宋体" w:hAnsi="宋体"/>
                <w:color w:val="000000" w:themeColor="text1"/>
                <w:szCs w:val="21"/>
                <w14:textFill>
                  <w14:solidFill>
                    <w14:schemeClr w14:val="tx1"/>
                  </w14:solidFill>
                </w14:textFill>
              </w:rPr>
              <w:t>与政策</w:t>
            </w:r>
            <w:r>
              <w:rPr>
                <w:rFonts w:hint="eastAsia" w:ascii="宋体" w:hAnsi="宋体"/>
                <w:color w:val="000000" w:themeColor="text1"/>
                <w:szCs w:val="21"/>
                <w14:textFill>
                  <w14:solidFill>
                    <w14:schemeClr w14:val="tx1"/>
                  </w14:solidFill>
                </w14:textFill>
              </w:rPr>
              <w:t>（二）</w:t>
            </w:r>
          </w:p>
        </w:tc>
        <w:tc>
          <w:tcPr>
            <w:tcW w:w="1413" w:type="dxa"/>
          </w:tcPr>
          <w:p w14:paraId="009BEC86">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w:t>
            </w:r>
          </w:p>
        </w:tc>
        <w:tc>
          <w:tcPr>
            <w:tcW w:w="1254" w:type="dxa"/>
          </w:tcPr>
          <w:p w14:paraId="1F18575B">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0</w:t>
            </w:r>
            <w:r>
              <w:rPr>
                <w:color w:val="000000" w:themeColor="text1"/>
                <w:szCs w:val="21"/>
                <w14:textFill>
                  <w14:solidFill>
                    <w14:schemeClr w14:val="tx1"/>
                  </w14:solidFill>
                </w14:textFill>
              </w:rPr>
              <w:t>.25</w:t>
            </w:r>
          </w:p>
        </w:tc>
      </w:tr>
      <w:tr w14:paraId="4DAE2A2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0AAC9908">
            <w:pPr>
              <w:adjustRightInd w:val="0"/>
              <w:snapToGrid w:val="0"/>
              <w:spacing w:line="360" w:lineRule="exact"/>
              <w:rPr>
                <w:rFonts w:ascii="宋体" w:hAnsi="宋体"/>
                <w:color w:val="000000" w:themeColor="text1"/>
                <w:szCs w:val="21"/>
                <w14:textFill>
                  <w14:solidFill>
                    <w14:schemeClr w14:val="tx1"/>
                  </w14:solidFill>
                </w14:textFill>
              </w:rPr>
            </w:pPr>
          </w:p>
        </w:tc>
        <w:tc>
          <w:tcPr>
            <w:tcW w:w="3027" w:type="dxa"/>
          </w:tcPr>
          <w:p w14:paraId="6FEE8B7F">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形势</w:t>
            </w:r>
            <w:r>
              <w:rPr>
                <w:rFonts w:ascii="宋体" w:hAnsi="宋体"/>
                <w:color w:val="000000" w:themeColor="text1"/>
                <w:szCs w:val="21"/>
                <w14:textFill>
                  <w14:solidFill>
                    <w14:schemeClr w14:val="tx1"/>
                  </w14:solidFill>
                </w14:textFill>
              </w:rPr>
              <w:t>与政策</w:t>
            </w:r>
            <w:r>
              <w:rPr>
                <w:rFonts w:hint="eastAsia" w:ascii="宋体" w:hAnsi="宋体"/>
                <w:color w:val="000000" w:themeColor="text1"/>
                <w:szCs w:val="21"/>
                <w14:textFill>
                  <w14:solidFill>
                    <w14:schemeClr w14:val="tx1"/>
                  </w14:solidFill>
                </w14:textFill>
              </w:rPr>
              <w:t>（五）</w:t>
            </w:r>
          </w:p>
        </w:tc>
        <w:tc>
          <w:tcPr>
            <w:tcW w:w="1413" w:type="dxa"/>
          </w:tcPr>
          <w:p w14:paraId="13AEB791">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w:t>
            </w:r>
          </w:p>
        </w:tc>
        <w:tc>
          <w:tcPr>
            <w:tcW w:w="1254" w:type="dxa"/>
          </w:tcPr>
          <w:p w14:paraId="42FB450B">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0</w:t>
            </w:r>
            <w:r>
              <w:rPr>
                <w:color w:val="000000" w:themeColor="text1"/>
                <w:szCs w:val="21"/>
                <w14:textFill>
                  <w14:solidFill>
                    <w14:schemeClr w14:val="tx1"/>
                  </w14:solidFill>
                </w14:textFill>
              </w:rPr>
              <w:t>.25</w:t>
            </w:r>
          </w:p>
        </w:tc>
      </w:tr>
      <w:tr w14:paraId="60D327C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4D716A16">
            <w:pPr>
              <w:adjustRightInd w:val="0"/>
              <w:snapToGrid w:val="0"/>
              <w:spacing w:line="360" w:lineRule="exact"/>
              <w:rPr>
                <w:rFonts w:ascii="宋体" w:hAnsi="宋体"/>
                <w:color w:val="000000" w:themeColor="text1"/>
                <w:szCs w:val="21"/>
                <w14:textFill>
                  <w14:solidFill>
                    <w14:schemeClr w14:val="tx1"/>
                  </w14:solidFill>
                </w14:textFill>
              </w:rPr>
            </w:pPr>
          </w:p>
        </w:tc>
        <w:tc>
          <w:tcPr>
            <w:tcW w:w="3027" w:type="dxa"/>
          </w:tcPr>
          <w:p w14:paraId="7BCF6AEF">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形势</w:t>
            </w:r>
            <w:r>
              <w:rPr>
                <w:rFonts w:ascii="宋体" w:hAnsi="宋体"/>
                <w:color w:val="000000" w:themeColor="text1"/>
                <w:szCs w:val="21"/>
                <w14:textFill>
                  <w14:solidFill>
                    <w14:schemeClr w14:val="tx1"/>
                  </w14:solidFill>
                </w14:textFill>
              </w:rPr>
              <w:t>与政策</w:t>
            </w:r>
            <w:r>
              <w:rPr>
                <w:rFonts w:hint="eastAsia" w:ascii="宋体" w:hAnsi="宋体"/>
                <w:color w:val="000000" w:themeColor="text1"/>
                <w:szCs w:val="21"/>
                <w14:textFill>
                  <w14:solidFill>
                    <w14:schemeClr w14:val="tx1"/>
                  </w14:solidFill>
                </w14:textFill>
              </w:rPr>
              <w:t>（六）</w:t>
            </w:r>
          </w:p>
        </w:tc>
        <w:tc>
          <w:tcPr>
            <w:tcW w:w="1413" w:type="dxa"/>
          </w:tcPr>
          <w:p w14:paraId="289B3907">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w:t>
            </w:r>
          </w:p>
        </w:tc>
        <w:tc>
          <w:tcPr>
            <w:tcW w:w="1254" w:type="dxa"/>
          </w:tcPr>
          <w:p w14:paraId="1171C1CD">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0</w:t>
            </w:r>
            <w:r>
              <w:rPr>
                <w:color w:val="000000" w:themeColor="text1"/>
                <w:szCs w:val="21"/>
                <w14:textFill>
                  <w14:solidFill>
                    <w14:schemeClr w14:val="tx1"/>
                  </w14:solidFill>
                </w14:textFill>
              </w:rPr>
              <w:t>.25</w:t>
            </w:r>
          </w:p>
        </w:tc>
      </w:tr>
      <w:tr w14:paraId="5E7180B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1514BBF1">
            <w:pPr>
              <w:adjustRightInd w:val="0"/>
              <w:snapToGrid w:val="0"/>
              <w:spacing w:line="360" w:lineRule="exact"/>
              <w:rPr>
                <w:rFonts w:ascii="宋体" w:hAnsi="宋体"/>
                <w:color w:val="000000" w:themeColor="text1"/>
                <w:szCs w:val="21"/>
                <w14:textFill>
                  <w14:solidFill>
                    <w14:schemeClr w14:val="tx1"/>
                  </w14:solidFill>
                </w14:textFill>
              </w:rPr>
            </w:pPr>
          </w:p>
        </w:tc>
        <w:tc>
          <w:tcPr>
            <w:tcW w:w="3027" w:type="dxa"/>
          </w:tcPr>
          <w:p w14:paraId="577AC4D2">
            <w:pPr>
              <w:adjustRightInd w:val="0"/>
              <w:snapToGrid w:val="0"/>
              <w:spacing w:line="36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大学生心理健康实践</w:t>
            </w:r>
          </w:p>
        </w:tc>
        <w:tc>
          <w:tcPr>
            <w:tcW w:w="1413" w:type="dxa"/>
          </w:tcPr>
          <w:p w14:paraId="1BDD95F1">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w:t>
            </w:r>
          </w:p>
        </w:tc>
        <w:tc>
          <w:tcPr>
            <w:tcW w:w="1254" w:type="dxa"/>
          </w:tcPr>
          <w:p w14:paraId="1ECDF660">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r>
      <w:tr w14:paraId="0DA66DC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548CECFD">
            <w:pPr>
              <w:adjustRightInd w:val="0"/>
              <w:snapToGrid w:val="0"/>
              <w:spacing w:line="36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专业实验类</w:t>
            </w:r>
          </w:p>
        </w:tc>
        <w:tc>
          <w:tcPr>
            <w:tcW w:w="3027" w:type="dxa"/>
          </w:tcPr>
          <w:p w14:paraId="5773B707">
            <w:pPr>
              <w:adjustRightInd w:val="0"/>
              <w:snapToGrid w:val="0"/>
              <w:spacing w:line="360" w:lineRule="exact"/>
              <w:rPr>
                <w:rFonts w:ascii="宋体" w:hAnsi="宋体"/>
                <w:szCs w:val="21"/>
              </w:rPr>
            </w:pPr>
            <w:r>
              <w:rPr>
                <w:rFonts w:hint="eastAsia" w:ascii="宋体" w:hAnsi="宋体"/>
                <w:szCs w:val="21"/>
              </w:rPr>
              <w:t>统计编程基础</w:t>
            </w:r>
          </w:p>
        </w:tc>
        <w:tc>
          <w:tcPr>
            <w:tcW w:w="1413" w:type="dxa"/>
          </w:tcPr>
          <w:p w14:paraId="1E11C3D6">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w:t>
            </w:r>
          </w:p>
        </w:tc>
        <w:tc>
          <w:tcPr>
            <w:tcW w:w="1254" w:type="dxa"/>
          </w:tcPr>
          <w:p w14:paraId="2072F1E0">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w:t>
            </w:r>
          </w:p>
        </w:tc>
      </w:tr>
      <w:tr w14:paraId="08239B6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5E2AA423">
            <w:pPr>
              <w:adjustRightInd w:val="0"/>
              <w:snapToGrid w:val="0"/>
              <w:spacing w:line="360" w:lineRule="exact"/>
              <w:rPr>
                <w:rFonts w:ascii="宋体" w:hAnsi="宋体"/>
                <w:color w:val="000000" w:themeColor="text1"/>
                <w:szCs w:val="21"/>
                <w14:textFill>
                  <w14:solidFill>
                    <w14:schemeClr w14:val="tx1"/>
                  </w14:solidFill>
                </w14:textFill>
              </w:rPr>
            </w:pPr>
          </w:p>
        </w:tc>
        <w:tc>
          <w:tcPr>
            <w:tcW w:w="3027" w:type="dxa"/>
          </w:tcPr>
          <w:p w14:paraId="24E7B8C5">
            <w:pPr>
              <w:adjustRightInd w:val="0"/>
              <w:snapToGrid w:val="0"/>
              <w:spacing w:line="360" w:lineRule="exact"/>
              <w:rPr>
                <w:rFonts w:ascii="宋体" w:hAnsi="宋体"/>
                <w:szCs w:val="21"/>
              </w:rPr>
            </w:pPr>
            <w:r>
              <w:rPr>
                <w:rFonts w:hint="eastAsia" w:ascii="宋体" w:hAnsi="宋体"/>
                <w:szCs w:val="21"/>
              </w:rPr>
              <w:t>调查与抽样技术</w:t>
            </w:r>
          </w:p>
        </w:tc>
        <w:tc>
          <w:tcPr>
            <w:tcW w:w="1413" w:type="dxa"/>
          </w:tcPr>
          <w:p w14:paraId="68A8202D">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4</w:t>
            </w:r>
          </w:p>
        </w:tc>
        <w:tc>
          <w:tcPr>
            <w:tcW w:w="1254" w:type="dxa"/>
          </w:tcPr>
          <w:p w14:paraId="14E74A8C">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r>
      <w:tr w14:paraId="2CF15E6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78923D54">
            <w:pPr>
              <w:adjustRightInd w:val="0"/>
              <w:snapToGrid w:val="0"/>
              <w:spacing w:line="360" w:lineRule="exact"/>
              <w:rPr>
                <w:rFonts w:ascii="宋体" w:hAnsi="宋体"/>
                <w:color w:val="000000" w:themeColor="text1"/>
                <w:szCs w:val="21"/>
                <w14:textFill>
                  <w14:solidFill>
                    <w14:schemeClr w14:val="tx1"/>
                  </w14:solidFill>
                </w14:textFill>
              </w:rPr>
            </w:pPr>
          </w:p>
        </w:tc>
        <w:tc>
          <w:tcPr>
            <w:tcW w:w="3027" w:type="dxa"/>
          </w:tcPr>
          <w:p w14:paraId="1D47BD9F">
            <w:pPr>
              <w:adjustRightInd w:val="0"/>
              <w:snapToGrid w:val="0"/>
              <w:spacing w:line="360" w:lineRule="exact"/>
              <w:rPr>
                <w:rFonts w:ascii="宋体" w:hAnsi="宋体"/>
                <w:szCs w:val="21"/>
              </w:rPr>
            </w:pPr>
            <w:r>
              <w:rPr>
                <w:rFonts w:hint="eastAsia" w:ascii="宋体" w:hAnsi="宋体"/>
                <w:szCs w:val="21"/>
              </w:rPr>
              <w:t>多元统计分析</w:t>
            </w:r>
          </w:p>
        </w:tc>
        <w:tc>
          <w:tcPr>
            <w:tcW w:w="1413" w:type="dxa"/>
          </w:tcPr>
          <w:p w14:paraId="64424B36">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w:t>
            </w:r>
          </w:p>
        </w:tc>
        <w:tc>
          <w:tcPr>
            <w:tcW w:w="1254" w:type="dxa"/>
          </w:tcPr>
          <w:p w14:paraId="5E4C3746">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r>
      <w:tr w14:paraId="71CC21B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42BF9DCA">
            <w:pPr>
              <w:adjustRightInd w:val="0"/>
              <w:snapToGrid w:val="0"/>
              <w:spacing w:line="360" w:lineRule="exact"/>
              <w:rPr>
                <w:rFonts w:ascii="宋体" w:hAnsi="宋体"/>
                <w:color w:val="000000" w:themeColor="text1"/>
                <w:szCs w:val="21"/>
                <w14:textFill>
                  <w14:solidFill>
                    <w14:schemeClr w14:val="tx1"/>
                  </w14:solidFill>
                </w14:textFill>
              </w:rPr>
            </w:pPr>
          </w:p>
        </w:tc>
        <w:tc>
          <w:tcPr>
            <w:tcW w:w="3027" w:type="dxa"/>
          </w:tcPr>
          <w:p w14:paraId="4C151856">
            <w:pPr>
              <w:adjustRightInd w:val="0"/>
              <w:snapToGrid w:val="0"/>
              <w:spacing w:line="360" w:lineRule="exact"/>
              <w:rPr>
                <w:rFonts w:ascii="宋体" w:hAnsi="宋体"/>
                <w:szCs w:val="21"/>
              </w:rPr>
            </w:pPr>
            <w:r>
              <w:rPr>
                <w:rFonts w:hint="eastAsia" w:ascii="宋体" w:hAnsi="宋体"/>
                <w:szCs w:val="21"/>
              </w:rPr>
              <w:t>时间序列分析</w:t>
            </w:r>
          </w:p>
        </w:tc>
        <w:tc>
          <w:tcPr>
            <w:tcW w:w="1413" w:type="dxa"/>
          </w:tcPr>
          <w:p w14:paraId="60537FCB">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w:t>
            </w:r>
          </w:p>
        </w:tc>
        <w:tc>
          <w:tcPr>
            <w:tcW w:w="1254" w:type="dxa"/>
          </w:tcPr>
          <w:p w14:paraId="7E5A85CE">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r>
      <w:tr w14:paraId="0DD0675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4B2C07DD">
            <w:pPr>
              <w:adjustRightInd w:val="0"/>
              <w:snapToGrid w:val="0"/>
              <w:spacing w:line="360" w:lineRule="exact"/>
              <w:rPr>
                <w:rFonts w:ascii="宋体" w:hAnsi="宋体"/>
                <w:color w:val="000000" w:themeColor="text1"/>
                <w:szCs w:val="21"/>
                <w14:textFill>
                  <w14:solidFill>
                    <w14:schemeClr w14:val="tx1"/>
                  </w14:solidFill>
                </w14:textFill>
              </w:rPr>
            </w:pPr>
          </w:p>
        </w:tc>
        <w:tc>
          <w:tcPr>
            <w:tcW w:w="3027" w:type="dxa"/>
          </w:tcPr>
          <w:p w14:paraId="73368D9D">
            <w:pPr>
              <w:adjustRightInd w:val="0"/>
              <w:snapToGrid w:val="0"/>
              <w:spacing w:line="360" w:lineRule="exact"/>
              <w:rPr>
                <w:rFonts w:ascii="宋体" w:hAnsi="宋体"/>
                <w:szCs w:val="21"/>
              </w:rPr>
            </w:pPr>
            <w:r>
              <w:rPr>
                <w:rFonts w:hint="eastAsia" w:ascii="宋体" w:hAnsi="宋体"/>
                <w:szCs w:val="21"/>
              </w:rPr>
              <w:t>国民经济核算</w:t>
            </w:r>
          </w:p>
        </w:tc>
        <w:tc>
          <w:tcPr>
            <w:tcW w:w="1413" w:type="dxa"/>
          </w:tcPr>
          <w:p w14:paraId="0EE3A232">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w:t>
            </w:r>
          </w:p>
        </w:tc>
        <w:tc>
          <w:tcPr>
            <w:tcW w:w="1254" w:type="dxa"/>
          </w:tcPr>
          <w:p w14:paraId="4DD209D7">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r>
      <w:tr w14:paraId="2363C3F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2B4E62E1">
            <w:pPr>
              <w:adjustRightInd w:val="0"/>
              <w:snapToGrid w:val="0"/>
              <w:spacing w:line="360" w:lineRule="exact"/>
              <w:rPr>
                <w:rFonts w:ascii="宋体" w:hAnsi="宋体"/>
                <w:color w:val="000000" w:themeColor="text1"/>
                <w:szCs w:val="21"/>
                <w14:textFill>
                  <w14:solidFill>
                    <w14:schemeClr w14:val="tx1"/>
                  </w14:solidFill>
                </w14:textFill>
              </w:rPr>
            </w:pPr>
          </w:p>
        </w:tc>
        <w:tc>
          <w:tcPr>
            <w:tcW w:w="3027" w:type="dxa"/>
          </w:tcPr>
          <w:p w14:paraId="79340D74">
            <w:pPr>
              <w:adjustRightInd w:val="0"/>
              <w:snapToGrid w:val="0"/>
              <w:spacing w:line="360" w:lineRule="exact"/>
              <w:rPr>
                <w:rFonts w:ascii="宋体" w:hAnsi="宋体"/>
                <w:szCs w:val="21"/>
              </w:rPr>
            </w:pPr>
            <w:r>
              <w:rPr>
                <w:rFonts w:hint="eastAsia" w:ascii="宋体" w:hAnsi="宋体"/>
                <w:szCs w:val="21"/>
              </w:rPr>
              <w:t>金融统计与风险管理</w:t>
            </w:r>
          </w:p>
        </w:tc>
        <w:tc>
          <w:tcPr>
            <w:tcW w:w="1413" w:type="dxa"/>
          </w:tcPr>
          <w:p w14:paraId="5CF5126D">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w:t>
            </w:r>
          </w:p>
        </w:tc>
        <w:tc>
          <w:tcPr>
            <w:tcW w:w="1254" w:type="dxa"/>
          </w:tcPr>
          <w:p w14:paraId="40D0C008">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r>
      <w:tr w14:paraId="247F445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6FD48727">
            <w:pPr>
              <w:adjustRightInd w:val="0"/>
              <w:snapToGrid w:val="0"/>
              <w:spacing w:line="360" w:lineRule="exact"/>
              <w:rPr>
                <w:rFonts w:ascii="宋体" w:hAnsi="宋体"/>
                <w:color w:val="000000" w:themeColor="text1"/>
                <w:szCs w:val="21"/>
                <w14:textFill>
                  <w14:solidFill>
                    <w14:schemeClr w14:val="tx1"/>
                  </w14:solidFill>
                </w14:textFill>
              </w:rPr>
            </w:pPr>
          </w:p>
        </w:tc>
        <w:tc>
          <w:tcPr>
            <w:tcW w:w="3027" w:type="dxa"/>
          </w:tcPr>
          <w:p w14:paraId="4751D61C">
            <w:pPr>
              <w:adjustRightInd w:val="0"/>
              <w:snapToGrid w:val="0"/>
              <w:spacing w:line="360" w:lineRule="exact"/>
              <w:rPr>
                <w:rFonts w:ascii="宋体" w:hAnsi="宋体"/>
                <w:szCs w:val="21"/>
              </w:rPr>
            </w:pPr>
            <w:r>
              <w:rPr>
                <w:rFonts w:hint="eastAsia" w:ascii="宋体" w:hAnsi="宋体"/>
                <w:szCs w:val="21"/>
              </w:rPr>
              <w:t xml:space="preserve">Python数据分析     </w:t>
            </w:r>
          </w:p>
        </w:tc>
        <w:tc>
          <w:tcPr>
            <w:tcW w:w="1413" w:type="dxa"/>
          </w:tcPr>
          <w:p w14:paraId="298FBC3A">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4</w:t>
            </w:r>
          </w:p>
        </w:tc>
        <w:tc>
          <w:tcPr>
            <w:tcW w:w="1254" w:type="dxa"/>
          </w:tcPr>
          <w:p w14:paraId="0A34BE90">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w:t>
            </w:r>
          </w:p>
        </w:tc>
      </w:tr>
      <w:tr w14:paraId="320A3D4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6650BB16">
            <w:pPr>
              <w:adjustRightInd w:val="0"/>
              <w:snapToGrid w:val="0"/>
              <w:spacing w:line="360" w:lineRule="exact"/>
              <w:rPr>
                <w:rFonts w:ascii="宋体" w:hAnsi="宋体"/>
                <w:color w:val="000000" w:themeColor="text1"/>
                <w:szCs w:val="21"/>
                <w14:textFill>
                  <w14:solidFill>
                    <w14:schemeClr w14:val="tx1"/>
                  </w14:solidFill>
                </w14:textFill>
              </w:rPr>
            </w:pPr>
          </w:p>
        </w:tc>
        <w:tc>
          <w:tcPr>
            <w:tcW w:w="3027" w:type="dxa"/>
          </w:tcPr>
          <w:p w14:paraId="42262D09">
            <w:pPr>
              <w:adjustRightInd w:val="0"/>
              <w:snapToGrid w:val="0"/>
              <w:spacing w:line="360" w:lineRule="exact"/>
              <w:rPr>
                <w:rFonts w:ascii="宋体" w:hAnsi="宋体"/>
                <w:szCs w:val="21"/>
              </w:rPr>
            </w:pPr>
            <w:r>
              <w:rPr>
                <w:rFonts w:hint="eastAsia" w:ascii="宋体" w:hAnsi="宋体"/>
                <w:szCs w:val="21"/>
              </w:rPr>
              <w:t>非结构数据分析与建模</w:t>
            </w:r>
          </w:p>
        </w:tc>
        <w:tc>
          <w:tcPr>
            <w:tcW w:w="1413" w:type="dxa"/>
          </w:tcPr>
          <w:p w14:paraId="4D9A7747">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w:t>
            </w:r>
          </w:p>
        </w:tc>
        <w:tc>
          <w:tcPr>
            <w:tcW w:w="1254" w:type="dxa"/>
          </w:tcPr>
          <w:p w14:paraId="39DEC3CC">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r>
      <w:tr w14:paraId="349E5D8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04BD9962">
            <w:pPr>
              <w:adjustRightInd w:val="0"/>
              <w:snapToGrid w:val="0"/>
              <w:spacing w:line="360" w:lineRule="exact"/>
              <w:rPr>
                <w:rFonts w:ascii="宋体" w:hAnsi="宋体"/>
                <w:color w:val="000000" w:themeColor="text1"/>
                <w:szCs w:val="21"/>
                <w14:textFill>
                  <w14:solidFill>
                    <w14:schemeClr w14:val="tx1"/>
                  </w14:solidFill>
                </w14:textFill>
              </w:rPr>
            </w:pPr>
          </w:p>
        </w:tc>
        <w:tc>
          <w:tcPr>
            <w:tcW w:w="3027" w:type="dxa"/>
          </w:tcPr>
          <w:p w14:paraId="78B1E9EA">
            <w:pPr>
              <w:adjustRightInd w:val="0"/>
              <w:snapToGrid w:val="0"/>
              <w:spacing w:line="360" w:lineRule="exact"/>
              <w:rPr>
                <w:rFonts w:ascii="宋体" w:hAnsi="宋体"/>
                <w:szCs w:val="21"/>
              </w:rPr>
            </w:pPr>
            <w:r>
              <w:rPr>
                <w:rFonts w:hint="eastAsia" w:ascii="宋体" w:hAnsi="宋体"/>
                <w:szCs w:val="21"/>
              </w:rPr>
              <w:t>神经网络与深度学习</w:t>
            </w:r>
          </w:p>
        </w:tc>
        <w:tc>
          <w:tcPr>
            <w:tcW w:w="1413" w:type="dxa"/>
          </w:tcPr>
          <w:p w14:paraId="5C67A161">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w:t>
            </w:r>
          </w:p>
        </w:tc>
        <w:tc>
          <w:tcPr>
            <w:tcW w:w="1254" w:type="dxa"/>
          </w:tcPr>
          <w:p w14:paraId="0EA6EB52">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r>
      <w:tr w14:paraId="2D7B0DE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7929C856">
            <w:pPr>
              <w:adjustRightInd w:val="0"/>
              <w:snapToGrid w:val="0"/>
              <w:spacing w:line="360" w:lineRule="exact"/>
              <w:rPr>
                <w:rFonts w:ascii="宋体" w:hAnsi="宋体"/>
                <w:color w:val="000000" w:themeColor="text1"/>
                <w:szCs w:val="21"/>
                <w14:textFill>
                  <w14:solidFill>
                    <w14:schemeClr w14:val="tx1"/>
                  </w14:solidFill>
                </w14:textFill>
              </w:rPr>
            </w:pPr>
          </w:p>
        </w:tc>
        <w:tc>
          <w:tcPr>
            <w:tcW w:w="3027" w:type="dxa"/>
          </w:tcPr>
          <w:p w14:paraId="52F788D2">
            <w:pPr>
              <w:adjustRightInd w:val="0"/>
              <w:snapToGrid w:val="0"/>
              <w:spacing w:line="360" w:lineRule="exact"/>
              <w:rPr>
                <w:rFonts w:ascii="宋体" w:hAnsi="宋体"/>
                <w:szCs w:val="21"/>
              </w:rPr>
            </w:pPr>
            <w:r>
              <w:rPr>
                <w:rFonts w:hint="eastAsia" w:ascii="宋体" w:hAnsi="宋体"/>
                <w:szCs w:val="21"/>
              </w:rPr>
              <w:t>人工智能大语言模型</w:t>
            </w:r>
          </w:p>
        </w:tc>
        <w:tc>
          <w:tcPr>
            <w:tcW w:w="1413" w:type="dxa"/>
          </w:tcPr>
          <w:p w14:paraId="7D48CA9C">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w:t>
            </w:r>
          </w:p>
        </w:tc>
        <w:tc>
          <w:tcPr>
            <w:tcW w:w="1254" w:type="dxa"/>
          </w:tcPr>
          <w:p w14:paraId="6C91B935">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r>
      <w:tr w14:paraId="650CA13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29137FE6">
            <w:pPr>
              <w:adjustRightInd w:val="0"/>
              <w:snapToGrid w:val="0"/>
              <w:spacing w:line="360" w:lineRule="exact"/>
              <w:rPr>
                <w:rFonts w:ascii="宋体" w:hAnsi="宋体"/>
                <w:color w:val="000000" w:themeColor="text1"/>
                <w:szCs w:val="21"/>
                <w14:textFill>
                  <w14:solidFill>
                    <w14:schemeClr w14:val="tx1"/>
                  </w14:solidFill>
                </w14:textFill>
              </w:rPr>
            </w:pPr>
          </w:p>
        </w:tc>
        <w:tc>
          <w:tcPr>
            <w:tcW w:w="3027" w:type="dxa"/>
          </w:tcPr>
          <w:p w14:paraId="6C1E7165">
            <w:pPr>
              <w:adjustRightInd w:val="0"/>
              <w:snapToGrid w:val="0"/>
              <w:spacing w:line="360" w:lineRule="exact"/>
              <w:rPr>
                <w:rFonts w:ascii="宋体" w:hAnsi="宋体"/>
                <w:szCs w:val="21"/>
              </w:rPr>
            </w:pPr>
            <w:r>
              <w:rPr>
                <w:rFonts w:hint="eastAsia" w:ascii="宋体" w:hAnsi="宋体"/>
                <w:szCs w:val="21"/>
              </w:rPr>
              <w:t xml:space="preserve">论文写作   </w:t>
            </w:r>
          </w:p>
        </w:tc>
        <w:tc>
          <w:tcPr>
            <w:tcW w:w="1413" w:type="dxa"/>
          </w:tcPr>
          <w:p w14:paraId="66F11D89">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7</w:t>
            </w:r>
          </w:p>
        </w:tc>
        <w:tc>
          <w:tcPr>
            <w:tcW w:w="1254" w:type="dxa"/>
          </w:tcPr>
          <w:p w14:paraId="4B06F5B3">
            <w:pPr>
              <w:adjustRightInd w:val="0"/>
              <w:snapToGrid w:val="0"/>
              <w:spacing w:line="36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p>
        </w:tc>
      </w:tr>
      <w:tr w14:paraId="38ED3E2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408" w:type="dxa"/>
            <w:gridSpan w:val="2"/>
          </w:tcPr>
          <w:p w14:paraId="7743260C">
            <w:pPr>
              <w:adjustRightInd w:val="0"/>
              <w:snapToGrid w:val="0"/>
              <w:spacing w:line="360" w:lineRule="exact"/>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合计</w:t>
            </w:r>
          </w:p>
        </w:tc>
        <w:tc>
          <w:tcPr>
            <w:tcW w:w="1413" w:type="dxa"/>
          </w:tcPr>
          <w:p w14:paraId="1378D039">
            <w:pPr>
              <w:adjustRightInd w:val="0"/>
              <w:snapToGrid w:val="0"/>
              <w:spacing w:line="360" w:lineRule="exact"/>
              <w:jc w:val="center"/>
              <w:rPr>
                <w:b/>
                <w:color w:val="000000" w:themeColor="text1"/>
                <w:szCs w:val="21"/>
                <w14:textFill>
                  <w14:solidFill>
                    <w14:schemeClr w14:val="tx1"/>
                  </w14:solidFill>
                </w14:textFill>
              </w:rPr>
            </w:pPr>
          </w:p>
        </w:tc>
        <w:tc>
          <w:tcPr>
            <w:tcW w:w="1254" w:type="dxa"/>
          </w:tcPr>
          <w:p w14:paraId="2D0350F6">
            <w:pPr>
              <w:adjustRightInd w:val="0"/>
              <w:snapToGrid w:val="0"/>
              <w:spacing w:line="360" w:lineRule="exact"/>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40.5</w:t>
            </w:r>
          </w:p>
        </w:tc>
      </w:tr>
    </w:tbl>
    <w:p w14:paraId="5D01DEED">
      <w:pPr>
        <w:spacing w:line="560" w:lineRule="exact"/>
        <w:jc w:val="left"/>
        <w:rPr>
          <w:rFonts w:ascii="仿宋_GB2312" w:hAnsi="宋体" w:eastAsia="仿宋_GB2312"/>
          <w:color w:val="000000" w:themeColor="text1"/>
          <w:spacing w:val="-4"/>
          <w:sz w:val="32"/>
          <w14:textFill>
            <w14:solidFill>
              <w14:schemeClr w14:val="tx1"/>
            </w14:solidFill>
          </w14:textFill>
        </w:rPr>
      </w:pP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4A4BF">
    <w:pPr>
      <w:pStyle w:val="9"/>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0E21650C">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41332">
    <w:pPr>
      <w:pStyle w:val="9"/>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14:paraId="584A3279">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3CB92">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1E132">
    <w:pPr>
      <w:pStyle w:val="10"/>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JlODc5Y2MyMmZiMzRlNDdlODBlZmFkOTFhNDcwYjIifQ=="/>
  </w:docVars>
  <w:rsids>
    <w:rsidRoot w:val="00E76617"/>
    <w:rsid w:val="000047F7"/>
    <w:rsid w:val="00010987"/>
    <w:rsid w:val="0001156E"/>
    <w:rsid w:val="00013621"/>
    <w:rsid w:val="000138E0"/>
    <w:rsid w:val="000155D3"/>
    <w:rsid w:val="000174CA"/>
    <w:rsid w:val="00020E9D"/>
    <w:rsid w:val="00022C8F"/>
    <w:rsid w:val="00027C4E"/>
    <w:rsid w:val="00031751"/>
    <w:rsid w:val="00032372"/>
    <w:rsid w:val="000347EF"/>
    <w:rsid w:val="00040592"/>
    <w:rsid w:val="000443E9"/>
    <w:rsid w:val="00046438"/>
    <w:rsid w:val="00047758"/>
    <w:rsid w:val="00051A84"/>
    <w:rsid w:val="000520A8"/>
    <w:rsid w:val="00055C54"/>
    <w:rsid w:val="00055CE2"/>
    <w:rsid w:val="00060965"/>
    <w:rsid w:val="000619BA"/>
    <w:rsid w:val="000622D5"/>
    <w:rsid w:val="00072863"/>
    <w:rsid w:val="00076ECA"/>
    <w:rsid w:val="000775A9"/>
    <w:rsid w:val="00080A94"/>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5F07"/>
    <w:rsid w:val="000B728D"/>
    <w:rsid w:val="000B76F7"/>
    <w:rsid w:val="000C0638"/>
    <w:rsid w:val="000C27AC"/>
    <w:rsid w:val="000C306C"/>
    <w:rsid w:val="000C45F6"/>
    <w:rsid w:val="000D42E9"/>
    <w:rsid w:val="000D49D4"/>
    <w:rsid w:val="000E33B9"/>
    <w:rsid w:val="000E4051"/>
    <w:rsid w:val="000E4134"/>
    <w:rsid w:val="000E72C8"/>
    <w:rsid w:val="000F0FD8"/>
    <w:rsid w:val="000F29C0"/>
    <w:rsid w:val="000F4B8A"/>
    <w:rsid w:val="00102301"/>
    <w:rsid w:val="001029EA"/>
    <w:rsid w:val="001037FA"/>
    <w:rsid w:val="0010628D"/>
    <w:rsid w:val="001109B8"/>
    <w:rsid w:val="00112A55"/>
    <w:rsid w:val="00115D7F"/>
    <w:rsid w:val="0011600F"/>
    <w:rsid w:val="00117AB4"/>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70F80"/>
    <w:rsid w:val="00174235"/>
    <w:rsid w:val="0017652E"/>
    <w:rsid w:val="00176D02"/>
    <w:rsid w:val="001775D9"/>
    <w:rsid w:val="00177C80"/>
    <w:rsid w:val="00180998"/>
    <w:rsid w:val="00181761"/>
    <w:rsid w:val="00181E4E"/>
    <w:rsid w:val="001831F0"/>
    <w:rsid w:val="00185BF0"/>
    <w:rsid w:val="00190CBF"/>
    <w:rsid w:val="00191A52"/>
    <w:rsid w:val="00194F1C"/>
    <w:rsid w:val="00196973"/>
    <w:rsid w:val="001A0305"/>
    <w:rsid w:val="001A1C26"/>
    <w:rsid w:val="001A2E22"/>
    <w:rsid w:val="001A4CFD"/>
    <w:rsid w:val="001A71F8"/>
    <w:rsid w:val="001A74D6"/>
    <w:rsid w:val="001B0E23"/>
    <w:rsid w:val="001B275D"/>
    <w:rsid w:val="001B6FA8"/>
    <w:rsid w:val="001B6FC5"/>
    <w:rsid w:val="001C0A31"/>
    <w:rsid w:val="001C29C0"/>
    <w:rsid w:val="001C2EA8"/>
    <w:rsid w:val="001C4EC1"/>
    <w:rsid w:val="001C7139"/>
    <w:rsid w:val="001C7ED4"/>
    <w:rsid w:val="001D1F39"/>
    <w:rsid w:val="001D2733"/>
    <w:rsid w:val="001D44E0"/>
    <w:rsid w:val="001D4D35"/>
    <w:rsid w:val="001D51B2"/>
    <w:rsid w:val="001D6E7F"/>
    <w:rsid w:val="001E0DE3"/>
    <w:rsid w:val="001E34D8"/>
    <w:rsid w:val="001E5115"/>
    <w:rsid w:val="001E5CB4"/>
    <w:rsid w:val="001F0A0D"/>
    <w:rsid w:val="001F5136"/>
    <w:rsid w:val="001F6315"/>
    <w:rsid w:val="001F6720"/>
    <w:rsid w:val="002038B4"/>
    <w:rsid w:val="002060A0"/>
    <w:rsid w:val="00207139"/>
    <w:rsid w:val="00214322"/>
    <w:rsid w:val="00215F57"/>
    <w:rsid w:val="0022064C"/>
    <w:rsid w:val="00224BBF"/>
    <w:rsid w:val="00225786"/>
    <w:rsid w:val="002274E3"/>
    <w:rsid w:val="00227AD7"/>
    <w:rsid w:val="002318F0"/>
    <w:rsid w:val="00232D0D"/>
    <w:rsid w:val="00236EB3"/>
    <w:rsid w:val="00237084"/>
    <w:rsid w:val="00237508"/>
    <w:rsid w:val="0024001B"/>
    <w:rsid w:val="0024085A"/>
    <w:rsid w:val="00240CE9"/>
    <w:rsid w:val="00241205"/>
    <w:rsid w:val="00243A4D"/>
    <w:rsid w:val="00243B37"/>
    <w:rsid w:val="00246837"/>
    <w:rsid w:val="00250EC0"/>
    <w:rsid w:val="002523F9"/>
    <w:rsid w:val="00252910"/>
    <w:rsid w:val="00257F3F"/>
    <w:rsid w:val="002601E5"/>
    <w:rsid w:val="002659BF"/>
    <w:rsid w:val="002726B5"/>
    <w:rsid w:val="00272DCA"/>
    <w:rsid w:val="00273ACE"/>
    <w:rsid w:val="002756E8"/>
    <w:rsid w:val="002865E6"/>
    <w:rsid w:val="002871F1"/>
    <w:rsid w:val="002902FD"/>
    <w:rsid w:val="002945FF"/>
    <w:rsid w:val="00296398"/>
    <w:rsid w:val="002963B6"/>
    <w:rsid w:val="002A2703"/>
    <w:rsid w:val="002A52EB"/>
    <w:rsid w:val="002A6B22"/>
    <w:rsid w:val="002A723E"/>
    <w:rsid w:val="002B1677"/>
    <w:rsid w:val="002B31F4"/>
    <w:rsid w:val="002B46CF"/>
    <w:rsid w:val="002B4AE2"/>
    <w:rsid w:val="002B60A3"/>
    <w:rsid w:val="002B6DF9"/>
    <w:rsid w:val="002B6F0C"/>
    <w:rsid w:val="002B754E"/>
    <w:rsid w:val="002C0959"/>
    <w:rsid w:val="002C32DE"/>
    <w:rsid w:val="002C6E81"/>
    <w:rsid w:val="002D06C4"/>
    <w:rsid w:val="002D104B"/>
    <w:rsid w:val="002D4608"/>
    <w:rsid w:val="002D523C"/>
    <w:rsid w:val="002D5F06"/>
    <w:rsid w:val="002D7242"/>
    <w:rsid w:val="002D751E"/>
    <w:rsid w:val="002E10B5"/>
    <w:rsid w:val="002E1305"/>
    <w:rsid w:val="002E28C2"/>
    <w:rsid w:val="002E3064"/>
    <w:rsid w:val="002E3FDD"/>
    <w:rsid w:val="002F08C6"/>
    <w:rsid w:val="002F0FBF"/>
    <w:rsid w:val="002F5838"/>
    <w:rsid w:val="002F5B62"/>
    <w:rsid w:val="00300C9D"/>
    <w:rsid w:val="00301D77"/>
    <w:rsid w:val="00310303"/>
    <w:rsid w:val="00311569"/>
    <w:rsid w:val="0031657B"/>
    <w:rsid w:val="00316B88"/>
    <w:rsid w:val="00317676"/>
    <w:rsid w:val="003206D1"/>
    <w:rsid w:val="00322112"/>
    <w:rsid w:val="003242F5"/>
    <w:rsid w:val="00337F81"/>
    <w:rsid w:val="00341322"/>
    <w:rsid w:val="0034208F"/>
    <w:rsid w:val="00344111"/>
    <w:rsid w:val="00345501"/>
    <w:rsid w:val="003455EE"/>
    <w:rsid w:val="00347A5B"/>
    <w:rsid w:val="00352261"/>
    <w:rsid w:val="00353D95"/>
    <w:rsid w:val="00357E34"/>
    <w:rsid w:val="003622CD"/>
    <w:rsid w:val="00362769"/>
    <w:rsid w:val="00362EED"/>
    <w:rsid w:val="00364ECF"/>
    <w:rsid w:val="00367C8D"/>
    <w:rsid w:val="00371DA1"/>
    <w:rsid w:val="0037395F"/>
    <w:rsid w:val="00373DBC"/>
    <w:rsid w:val="00374602"/>
    <w:rsid w:val="003824DC"/>
    <w:rsid w:val="003847B2"/>
    <w:rsid w:val="00385C7C"/>
    <w:rsid w:val="0038643A"/>
    <w:rsid w:val="00393A95"/>
    <w:rsid w:val="00395C62"/>
    <w:rsid w:val="00396333"/>
    <w:rsid w:val="00397235"/>
    <w:rsid w:val="003A15F9"/>
    <w:rsid w:val="003A4587"/>
    <w:rsid w:val="003A508E"/>
    <w:rsid w:val="003A74C5"/>
    <w:rsid w:val="003B7AE2"/>
    <w:rsid w:val="003C07C3"/>
    <w:rsid w:val="003C325E"/>
    <w:rsid w:val="003C5497"/>
    <w:rsid w:val="003C5E79"/>
    <w:rsid w:val="003C7038"/>
    <w:rsid w:val="003D0870"/>
    <w:rsid w:val="003D2053"/>
    <w:rsid w:val="003D319C"/>
    <w:rsid w:val="003D489D"/>
    <w:rsid w:val="003D5700"/>
    <w:rsid w:val="003D5CD1"/>
    <w:rsid w:val="003E0590"/>
    <w:rsid w:val="003E5853"/>
    <w:rsid w:val="003E6399"/>
    <w:rsid w:val="003F0672"/>
    <w:rsid w:val="003F258B"/>
    <w:rsid w:val="003F2B23"/>
    <w:rsid w:val="003F32F1"/>
    <w:rsid w:val="003F4C26"/>
    <w:rsid w:val="004029CD"/>
    <w:rsid w:val="00403CE8"/>
    <w:rsid w:val="00411501"/>
    <w:rsid w:val="00412C34"/>
    <w:rsid w:val="00416DB7"/>
    <w:rsid w:val="00416FD1"/>
    <w:rsid w:val="00421B59"/>
    <w:rsid w:val="0042485E"/>
    <w:rsid w:val="00425A2D"/>
    <w:rsid w:val="00425C68"/>
    <w:rsid w:val="00432696"/>
    <w:rsid w:val="00436697"/>
    <w:rsid w:val="0044309A"/>
    <w:rsid w:val="00446BF5"/>
    <w:rsid w:val="00451403"/>
    <w:rsid w:val="00451521"/>
    <w:rsid w:val="004545F0"/>
    <w:rsid w:val="00456152"/>
    <w:rsid w:val="00461112"/>
    <w:rsid w:val="004635C1"/>
    <w:rsid w:val="0046399B"/>
    <w:rsid w:val="00464812"/>
    <w:rsid w:val="00466681"/>
    <w:rsid w:val="00466A16"/>
    <w:rsid w:val="00472A2D"/>
    <w:rsid w:val="0047521B"/>
    <w:rsid w:val="00480145"/>
    <w:rsid w:val="004813A8"/>
    <w:rsid w:val="00482138"/>
    <w:rsid w:val="00483427"/>
    <w:rsid w:val="00483AFB"/>
    <w:rsid w:val="00490A6C"/>
    <w:rsid w:val="00491785"/>
    <w:rsid w:val="00497A87"/>
    <w:rsid w:val="004A1DE0"/>
    <w:rsid w:val="004A39E3"/>
    <w:rsid w:val="004A3BCE"/>
    <w:rsid w:val="004A439E"/>
    <w:rsid w:val="004A4C9C"/>
    <w:rsid w:val="004A710A"/>
    <w:rsid w:val="004B1FBD"/>
    <w:rsid w:val="004B3022"/>
    <w:rsid w:val="004B6864"/>
    <w:rsid w:val="004C1985"/>
    <w:rsid w:val="004C21F0"/>
    <w:rsid w:val="004C520C"/>
    <w:rsid w:val="004D1615"/>
    <w:rsid w:val="004D676D"/>
    <w:rsid w:val="004E0D16"/>
    <w:rsid w:val="004E1CDA"/>
    <w:rsid w:val="004E2A38"/>
    <w:rsid w:val="004E379E"/>
    <w:rsid w:val="004E51D3"/>
    <w:rsid w:val="004E7113"/>
    <w:rsid w:val="004F1164"/>
    <w:rsid w:val="004F18D5"/>
    <w:rsid w:val="004F1995"/>
    <w:rsid w:val="004F464E"/>
    <w:rsid w:val="004F48C7"/>
    <w:rsid w:val="00501054"/>
    <w:rsid w:val="005030C3"/>
    <w:rsid w:val="00505BF9"/>
    <w:rsid w:val="005060A6"/>
    <w:rsid w:val="0051055A"/>
    <w:rsid w:val="00511106"/>
    <w:rsid w:val="0051244E"/>
    <w:rsid w:val="0051262C"/>
    <w:rsid w:val="00512A23"/>
    <w:rsid w:val="00512B04"/>
    <w:rsid w:val="00516EE7"/>
    <w:rsid w:val="00521C0B"/>
    <w:rsid w:val="00527579"/>
    <w:rsid w:val="005318F1"/>
    <w:rsid w:val="00535DAA"/>
    <w:rsid w:val="00536C6F"/>
    <w:rsid w:val="005379F4"/>
    <w:rsid w:val="00540656"/>
    <w:rsid w:val="00541059"/>
    <w:rsid w:val="005543FE"/>
    <w:rsid w:val="00554CA1"/>
    <w:rsid w:val="00562478"/>
    <w:rsid w:val="00563B8D"/>
    <w:rsid w:val="0056549D"/>
    <w:rsid w:val="00567060"/>
    <w:rsid w:val="00572884"/>
    <w:rsid w:val="0057290F"/>
    <w:rsid w:val="00573207"/>
    <w:rsid w:val="00573551"/>
    <w:rsid w:val="00574BB1"/>
    <w:rsid w:val="005774AC"/>
    <w:rsid w:val="005817B2"/>
    <w:rsid w:val="00581E16"/>
    <w:rsid w:val="005908AE"/>
    <w:rsid w:val="00590D55"/>
    <w:rsid w:val="00591FBC"/>
    <w:rsid w:val="005927C3"/>
    <w:rsid w:val="005A010B"/>
    <w:rsid w:val="005A487C"/>
    <w:rsid w:val="005A6C1B"/>
    <w:rsid w:val="005B0A58"/>
    <w:rsid w:val="005B0D6F"/>
    <w:rsid w:val="005B13BB"/>
    <w:rsid w:val="005C0167"/>
    <w:rsid w:val="005C01B9"/>
    <w:rsid w:val="005C3215"/>
    <w:rsid w:val="005C34D1"/>
    <w:rsid w:val="005C3668"/>
    <w:rsid w:val="005D3491"/>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7405"/>
    <w:rsid w:val="00607DDE"/>
    <w:rsid w:val="006109BB"/>
    <w:rsid w:val="00613290"/>
    <w:rsid w:val="00614B68"/>
    <w:rsid w:val="00614E5D"/>
    <w:rsid w:val="0061621A"/>
    <w:rsid w:val="006213A2"/>
    <w:rsid w:val="00623DDE"/>
    <w:rsid w:val="006268FC"/>
    <w:rsid w:val="0063411F"/>
    <w:rsid w:val="00634483"/>
    <w:rsid w:val="0063545E"/>
    <w:rsid w:val="00635AF0"/>
    <w:rsid w:val="006362F8"/>
    <w:rsid w:val="00640663"/>
    <w:rsid w:val="00642DB8"/>
    <w:rsid w:val="00643DEC"/>
    <w:rsid w:val="00647F98"/>
    <w:rsid w:val="0065294E"/>
    <w:rsid w:val="0065478F"/>
    <w:rsid w:val="00654B53"/>
    <w:rsid w:val="00655761"/>
    <w:rsid w:val="00655860"/>
    <w:rsid w:val="00655F1F"/>
    <w:rsid w:val="006610EB"/>
    <w:rsid w:val="006625C8"/>
    <w:rsid w:val="006635DF"/>
    <w:rsid w:val="00663711"/>
    <w:rsid w:val="00664F96"/>
    <w:rsid w:val="006661F4"/>
    <w:rsid w:val="006729A0"/>
    <w:rsid w:val="00674C1C"/>
    <w:rsid w:val="00674EE6"/>
    <w:rsid w:val="00676623"/>
    <w:rsid w:val="006766E3"/>
    <w:rsid w:val="00680DE5"/>
    <w:rsid w:val="00686C29"/>
    <w:rsid w:val="006935E1"/>
    <w:rsid w:val="00693E6B"/>
    <w:rsid w:val="006943DA"/>
    <w:rsid w:val="00696589"/>
    <w:rsid w:val="0069794E"/>
    <w:rsid w:val="006A3D1D"/>
    <w:rsid w:val="006A41A3"/>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1781"/>
    <w:rsid w:val="006E1EA2"/>
    <w:rsid w:val="006E2B14"/>
    <w:rsid w:val="006E378A"/>
    <w:rsid w:val="006E3BD7"/>
    <w:rsid w:val="006E7862"/>
    <w:rsid w:val="006F1E05"/>
    <w:rsid w:val="006F5977"/>
    <w:rsid w:val="006F5F64"/>
    <w:rsid w:val="006F71A8"/>
    <w:rsid w:val="006F7525"/>
    <w:rsid w:val="007017CB"/>
    <w:rsid w:val="00706B5D"/>
    <w:rsid w:val="00710E7F"/>
    <w:rsid w:val="00711F22"/>
    <w:rsid w:val="00712601"/>
    <w:rsid w:val="00713738"/>
    <w:rsid w:val="00714ABD"/>
    <w:rsid w:val="007202C9"/>
    <w:rsid w:val="007253E5"/>
    <w:rsid w:val="0072629A"/>
    <w:rsid w:val="00727209"/>
    <w:rsid w:val="00731B39"/>
    <w:rsid w:val="00736397"/>
    <w:rsid w:val="007368EA"/>
    <w:rsid w:val="007437BE"/>
    <w:rsid w:val="00744DFF"/>
    <w:rsid w:val="00745167"/>
    <w:rsid w:val="00747614"/>
    <w:rsid w:val="00750FCB"/>
    <w:rsid w:val="00757589"/>
    <w:rsid w:val="00765BE3"/>
    <w:rsid w:val="0077169F"/>
    <w:rsid w:val="007758ED"/>
    <w:rsid w:val="00775D9A"/>
    <w:rsid w:val="007779CF"/>
    <w:rsid w:val="00780507"/>
    <w:rsid w:val="00781151"/>
    <w:rsid w:val="007862D0"/>
    <w:rsid w:val="00790369"/>
    <w:rsid w:val="0079090B"/>
    <w:rsid w:val="00793B93"/>
    <w:rsid w:val="0079581C"/>
    <w:rsid w:val="007972BA"/>
    <w:rsid w:val="007A0BCC"/>
    <w:rsid w:val="007A455D"/>
    <w:rsid w:val="007A7A18"/>
    <w:rsid w:val="007B47A2"/>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A30"/>
    <w:rsid w:val="008023A0"/>
    <w:rsid w:val="00804260"/>
    <w:rsid w:val="0080777F"/>
    <w:rsid w:val="00810623"/>
    <w:rsid w:val="008109AE"/>
    <w:rsid w:val="00812272"/>
    <w:rsid w:val="00812EB9"/>
    <w:rsid w:val="00813C94"/>
    <w:rsid w:val="00815DF9"/>
    <w:rsid w:val="00822D15"/>
    <w:rsid w:val="008251B6"/>
    <w:rsid w:val="00825BAB"/>
    <w:rsid w:val="0083056C"/>
    <w:rsid w:val="0083075E"/>
    <w:rsid w:val="00831E3F"/>
    <w:rsid w:val="00832920"/>
    <w:rsid w:val="00837161"/>
    <w:rsid w:val="00837404"/>
    <w:rsid w:val="00837581"/>
    <w:rsid w:val="00840CDD"/>
    <w:rsid w:val="008410DD"/>
    <w:rsid w:val="00841846"/>
    <w:rsid w:val="00846B3C"/>
    <w:rsid w:val="00847088"/>
    <w:rsid w:val="008477F9"/>
    <w:rsid w:val="008479B3"/>
    <w:rsid w:val="00852554"/>
    <w:rsid w:val="00853004"/>
    <w:rsid w:val="008545D5"/>
    <w:rsid w:val="00861332"/>
    <w:rsid w:val="00861723"/>
    <w:rsid w:val="008660EA"/>
    <w:rsid w:val="008677C3"/>
    <w:rsid w:val="0086789C"/>
    <w:rsid w:val="00867C8D"/>
    <w:rsid w:val="008714A4"/>
    <w:rsid w:val="0087434F"/>
    <w:rsid w:val="0087565F"/>
    <w:rsid w:val="00875C2A"/>
    <w:rsid w:val="00877035"/>
    <w:rsid w:val="0088097F"/>
    <w:rsid w:val="008826AF"/>
    <w:rsid w:val="00882AD2"/>
    <w:rsid w:val="0088387B"/>
    <w:rsid w:val="00884C3B"/>
    <w:rsid w:val="00894ADE"/>
    <w:rsid w:val="00895C5C"/>
    <w:rsid w:val="008A29EB"/>
    <w:rsid w:val="008A32B7"/>
    <w:rsid w:val="008A5BD5"/>
    <w:rsid w:val="008A5D3D"/>
    <w:rsid w:val="008A7361"/>
    <w:rsid w:val="008A7621"/>
    <w:rsid w:val="008B3E41"/>
    <w:rsid w:val="008B6A1D"/>
    <w:rsid w:val="008B7240"/>
    <w:rsid w:val="008C022F"/>
    <w:rsid w:val="008C089A"/>
    <w:rsid w:val="008C3401"/>
    <w:rsid w:val="008C498B"/>
    <w:rsid w:val="008D2A25"/>
    <w:rsid w:val="008D2E34"/>
    <w:rsid w:val="008D538F"/>
    <w:rsid w:val="008D712A"/>
    <w:rsid w:val="008E151E"/>
    <w:rsid w:val="008E25E1"/>
    <w:rsid w:val="008E3D1F"/>
    <w:rsid w:val="008E4C2A"/>
    <w:rsid w:val="008F0DCF"/>
    <w:rsid w:val="008F348A"/>
    <w:rsid w:val="008F49BD"/>
    <w:rsid w:val="0090580F"/>
    <w:rsid w:val="00907A60"/>
    <w:rsid w:val="00907CF8"/>
    <w:rsid w:val="00911EE6"/>
    <w:rsid w:val="0091450D"/>
    <w:rsid w:val="00915521"/>
    <w:rsid w:val="00916913"/>
    <w:rsid w:val="00920A81"/>
    <w:rsid w:val="00920E68"/>
    <w:rsid w:val="00922211"/>
    <w:rsid w:val="0092642F"/>
    <w:rsid w:val="00930801"/>
    <w:rsid w:val="00932525"/>
    <w:rsid w:val="00932B19"/>
    <w:rsid w:val="00935769"/>
    <w:rsid w:val="0093736D"/>
    <w:rsid w:val="009439E2"/>
    <w:rsid w:val="00944CA9"/>
    <w:rsid w:val="00944EBC"/>
    <w:rsid w:val="0094558F"/>
    <w:rsid w:val="009466B0"/>
    <w:rsid w:val="00946C52"/>
    <w:rsid w:val="00952A92"/>
    <w:rsid w:val="00952B9D"/>
    <w:rsid w:val="00953E22"/>
    <w:rsid w:val="00954966"/>
    <w:rsid w:val="00956842"/>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5138"/>
    <w:rsid w:val="009B52A0"/>
    <w:rsid w:val="009B6A15"/>
    <w:rsid w:val="009C1343"/>
    <w:rsid w:val="009C6B7E"/>
    <w:rsid w:val="009D074B"/>
    <w:rsid w:val="009D41E1"/>
    <w:rsid w:val="009E0636"/>
    <w:rsid w:val="009E288A"/>
    <w:rsid w:val="009E2E45"/>
    <w:rsid w:val="009E3EAB"/>
    <w:rsid w:val="009F29F9"/>
    <w:rsid w:val="009F35A1"/>
    <w:rsid w:val="009F3C58"/>
    <w:rsid w:val="009F5E0A"/>
    <w:rsid w:val="00A05BFD"/>
    <w:rsid w:val="00A05D4B"/>
    <w:rsid w:val="00A070F5"/>
    <w:rsid w:val="00A12741"/>
    <w:rsid w:val="00A12A46"/>
    <w:rsid w:val="00A131BC"/>
    <w:rsid w:val="00A17430"/>
    <w:rsid w:val="00A214B9"/>
    <w:rsid w:val="00A222E0"/>
    <w:rsid w:val="00A2347D"/>
    <w:rsid w:val="00A23C35"/>
    <w:rsid w:val="00A25CC4"/>
    <w:rsid w:val="00A319EA"/>
    <w:rsid w:val="00A32BED"/>
    <w:rsid w:val="00A3352A"/>
    <w:rsid w:val="00A3484B"/>
    <w:rsid w:val="00A34F0E"/>
    <w:rsid w:val="00A378D4"/>
    <w:rsid w:val="00A42CB4"/>
    <w:rsid w:val="00A46BC8"/>
    <w:rsid w:val="00A47372"/>
    <w:rsid w:val="00A54893"/>
    <w:rsid w:val="00A571C1"/>
    <w:rsid w:val="00A579C3"/>
    <w:rsid w:val="00A57AB6"/>
    <w:rsid w:val="00A6091C"/>
    <w:rsid w:val="00A629CC"/>
    <w:rsid w:val="00A63A97"/>
    <w:rsid w:val="00A65720"/>
    <w:rsid w:val="00A657AA"/>
    <w:rsid w:val="00A657CB"/>
    <w:rsid w:val="00A65EBF"/>
    <w:rsid w:val="00A72A2A"/>
    <w:rsid w:val="00A72B6F"/>
    <w:rsid w:val="00A73E57"/>
    <w:rsid w:val="00A76D22"/>
    <w:rsid w:val="00A81F69"/>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5A23"/>
    <w:rsid w:val="00AC6E3C"/>
    <w:rsid w:val="00AC7371"/>
    <w:rsid w:val="00AC7AB0"/>
    <w:rsid w:val="00AD0164"/>
    <w:rsid w:val="00AD17ED"/>
    <w:rsid w:val="00AD1C40"/>
    <w:rsid w:val="00AD1DCF"/>
    <w:rsid w:val="00AD20FF"/>
    <w:rsid w:val="00AD21F9"/>
    <w:rsid w:val="00AD4B75"/>
    <w:rsid w:val="00AD5476"/>
    <w:rsid w:val="00AE06A6"/>
    <w:rsid w:val="00AE7DB4"/>
    <w:rsid w:val="00AF1CBF"/>
    <w:rsid w:val="00AF7948"/>
    <w:rsid w:val="00B00AA2"/>
    <w:rsid w:val="00B01EB9"/>
    <w:rsid w:val="00B0265E"/>
    <w:rsid w:val="00B047BC"/>
    <w:rsid w:val="00B06E61"/>
    <w:rsid w:val="00B07B64"/>
    <w:rsid w:val="00B07ED5"/>
    <w:rsid w:val="00B11A28"/>
    <w:rsid w:val="00B11D33"/>
    <w:rsid w:val="00B13275"/>
    <w:rsid w:val="00B1471C"/>
    <w:rsid w:val="00B16B97"/>
    <w:rsid w:val="00B2021D"/>
    <w:rsid w:val="00B20C3F"/>
    <w:rsid w:val="00B23B17"/>
    <w:rsid w:val="00B27270"/>
    <w:rsid w:val="00B303A0"/>
    <w:rsid w:val="00B32D74"/>
    <w:rsid w:val="00B3376B"/>
    <w:rsid w:val="00B3388A"/>
    <w:rsid w:val="00B34CD6"/>
    <w:rsid w:val="00B35832"/>
    <w:rsid w:val="00B401C9"/>
    <w:rsid w:val="00B412DF"/>
    <w:rsid w:val="00B43AE0"/>
    <w:rsid w:val="00B440F0"/>
    <w:rsid w:val="00B45707"/>
    <w:rsid w:val="00B46B62"/>
    <w:rsid w:val="00B531B8"/>
    <w:rsid w:val="00B544C2"/>
    <w:rsid w:val="00B55F53"/>
    <w:rsid w:val="00B56BDF"/>
    <w:rsid w:val="00B61E4D"/>
    <w:rsid w:val="00B635EC"/>
    <w:rsid w:val="00B6486A"/>
    <w:rsid w:val="00B64C20"/>
    <w:rsid w:val="00B66867"/>
    <w:rsid w:val="00B6716D"/>
    <w:rsid w:val="00B74A2F"/>
    <w:rsid w:val="00B779A9"/>
    <w:rsid w:val="00B90A87"/>
    <w:rsid w:val="00B96A13"/>
    <w:rsid w:val="00BA1486"/>
    <w:rsid w:val="00BA5245"/>
    <w:rsid w:val="00BA55E5"/>
    <w:rsid w:val="00BA6D18"/>
    <w:rsid w:val="00BA7881"/>
    <w:rsid w:val="00BB6CB6"/>
    <w:rsid w:val="00BB6F7E"/>
    <w:rsid w:val="00BB75C2"/>
    <w:rsid w:val="00BC00FD"/>
    <w:rsid w:val="00BC0A46"/>
    <w:rsid w:val="00BC2301"/>
    <w:rsid w:val="00BD00E7"/>
    <w:rsid w:val="00BD1C1D"/>
    <w:rsid w:val="00BD1FFA"/>
    <w:rsid w:val="00BD6793"/>
    <w:rsid w:val="00BE029D"/>
    <w:rsid w:val="00BE330D"/>
    <w:rsid w:val="00BE7A4C"/>
    <w:rsid w:val="00BF15C6"/>
    <w:rsid w:val="00BF2299"/>
    <w:rsid w:val="00BF3359"/>
    <w:rsid w:val="00BF4E7D"/>
    <w:rsid w:val="00BF73DD"/>
    <w:rsid w:val="00C008BA"/>
    <w:rsid w:val="00C00D94"/>
    <w:rsid w:val="00C01A75"/>
    <w:rsid w:val="00C03369"/>
    <w:rsid w:val="00C102FF"/>
    <w:rsid w:val="00C1113D"/>
    <w:rsid w:val="00C221A7"/>
    <w:rsid w:val="00C22B2E"/>
    <w:rsid w:val="00C231EC"/>
    <w:rsid w:val="00C237F8"/>
    <w:rsid w:val="00C303B4"/>
    <w:rsid w:val="00C31E5C"/>
    <w:rsid w:val="00C31F4C"/>
    <w:rsid w:val="00C33393"/>
    <w:rsid w:val="00C33961"/>
    <w:rsid w:val="00C36BFE"/>
    <w:rsid w:val="00C37FB0"/>
    <w:rsid w:val="00C43750"/>
    <w:rsid w:val="00C448EB"/>
    <w:rsid w:val="00C45352"/>
    <w:rsid w:val="00C471A0"/>
    <w:rsid w:val="00C501F4"/>
    <w:rsid w:val="00C51FC7"/>
    <w:rsid w:val="00C530E7"/>
    <w:rsid w:val="00C53BB5"/>
    <w:rsid w:val="00C6092D"/>
    <w:rsid w:val="00C60D2B"/>
    <w:rsid w:val="00C61C3B"/>
    <w:rsid w:val="00C62C63"/>
    <w:rsid w:val="00C63139"/>
    <w:rsid w:val="00C63C37"/>
    <w:rsid w:val="00C71422"/>
    <w:rsid w:val="00C72126"/>
    <w:rsid w:val="00C722A0"/>
    <w:rsid w:val="00C72A95"/>
    <w:rsid w:val="00C81966"/>
    <w:rsid w:val="00C82764"/>
    <w:rsid w:val="00C838DA"/>
    <w:rsid w:val="00C855D5"/>
    <w:rsid w:val="00C860B3"/>
    <w:rsid w:val="00C92B95"/>
    <w:rsid w:val="00C92C79"/>
    <w:rsid w:val="00C93453"/>
    <w:rsid w:val="00C93FD1"/>
    <w:rsid w:val="00C96A4E"/>
    <w:rsid w:val="00CA4567"/>
    <w:rsid w:val="00CA4693"/>
    <w:rsid w:val="00CA777B"/>
    <w:rsid w:val="00CC14A2"/>
    <w:rsid w:val="00CC35A7"/>
    <w:rsid w:val="00CC63E1"/>
    <w:rsid w:val="00CC722B"/>
    <w:rsid w:val="00CD1788"/>
    <w:rsid w:val="00CD3550"/>
    <w:rsid w:val="00CD3E58"/>
    <w:rsid w:val="00CD7297"/>
    <w:rsid w:val="00CD7A9E"/>
    <w:rsid w:val="00CE218C"/>
    <w:rsid w:val="00CE4499"/>
    <w:rsid w:val="00CE7411"/>
    <w:rsid w:val="00CF29CB"/>
    <w:rsid w:val="00CF3644"/>
    <w:rsid w:val="00CF4ED5"/>
    <w:rsid w:val="00CF5652"/>
    <w:rsid w:val="00CF5EC4"/>
    <w:rsid w:val="00D0270D"/>
    <w:rsid w:val="00D050CF"/>
    <w:rsid w:val="00D06F10"/>
    <w:rsid w:val="00D07C30"/>
    <w:rsid w:val="00D1321B"/>
    <w:rsid w:val="00D147ED"/>
    <w:rsid w:val="00D22841"/>
    <w:rsid w:val="00D2556F"/>
    <w:rsid w:val="00D25660"/>
    <w:rsid w:val="00D275A0"/>
    <w:rsid w:val="00D27748"/>
    <w:rsid w:val="00D27FA1"/>
    <w:rsid w:val="00D30FFE"/>
    <w:rsid w:val="00D310C7"/>
    <w:rsid w:val="00D319C4"/>
    <w:rsid w:val="00D32C68"/>
    <w:rsid w:val="00D33A34"/>
    <w:rsid w:val="00D349D9"/>
    <w:rsid w:val="00D35565"/>
    <w:rsid w:val="00D36EE3"/>
    <w:rsid w:val="00D45CE6"/>
    <w:rsid w:val="00D5063D"/>
    <w:rsid w:val="00D52F76"/>
    <w:rsid w:val="00D543BA"/>
    <w:rsid w:val="00D6145E"/>
    <w:rsid w:val="00D6327D"/>
    <w:rsid w:val="00D66776"/>
    <w:rsid w:val="00D7089C"/>
    <w:rsid w:val="00D7590C"/>
    <w:rsid w:val="00D80462"/>
    <w:rsid w:val="00D81BF5"/>
    <w:rsid w:val="00D8504B"/>
    <w:rsid w:val="00D87AF1"/>
    <w:rsid w:val="00D923F6"/>
    <w:rsid w:val="00D934FF"/>
    <w:rsid w:val="00D94634"/>
    <w:rsid w:val="00D94DE1"/>
    <w:rsid w:val="00D95D1B"/>
    <w:rsid w:val="00D97B54"/>
    <w:rsid w:val="00D97ED1"/>
    <w:rsid w:val="00DA0D47"/>
    <w:rsid w:val="00DA24D8"/>
    <w:rsid w:val="00DA3E21"/>
    <w:rsid w:val="00DA7FDF"/>
    <w:rsid w:val="00DB383F"/>
    <w:rsid w:val="00DC0733"/>
    <w:rsid w:val="00DC0CE3"/>
    <w:rsid w:val="00DC2310"/>
    <w:rsid w:val="00DC48A4"/>
    <w:rsid w:val="00DC719B"/>
    <w:rsid w:val="00DD0EF4"/>
    <w:rsid w:val="00DD41DB"/>
    <w:rsid w:val="00DD525E"/>
    <w:rsid w:val="00DD5404"/>
    <w:rsid w:val="00DD56CB"/>
    <w:rsid w:val="00DD5B8C"/>
    <w:rsid w:val="00DE76C3"/>
    <w:rsid w:val="00DF43DA"/>
    <w:rsid w:val="00E03C9C"/>
    <w:rsid w:val="00E0550A"/>
    <w:rsid w:val="00E07FD6"/>
    <w:rsid w:val="00E134B9"/>
    <w:rsid w:val="00E1437A"/>
    <w:rsid w:val="00E172B3"/>
    <w:rsid w:val="00E22201"/>
    <w:rsid w:val="00E23807"/>
    <w:rsid w:val="00E23BE9"/>
    <w:rsid w:val="00E24A0A"/>
    <w:rsid w:val="00E26CF3"/>
    <w:rsid w:val="00E324E6"/>
    <w:rsid w:val="00E32B3C"/>
    <w:rsid w:val="00E33064"/>
    <w:rsid w:val="00E36A44"/>
    <w:rsid w:val="00E372E5"/>
    <w:rsid w:val="00E459BB"/>
    <w:rsid w:val="00E47F76"/>
    <w:rsid w:val="00E50D86"/>
    <w:rsid w:val="00E51025"/>
    <w:rsid w:val="00E53A15"/>
    <w:rsid w:val="00E54610"/>
    <w:rsid w:val="00E5493E"/>
    <w:rsid w:val="00E564E8"/>
    <w:rsid w:val="00E57A6A"/>
    <w:rsid w:val="00E62B83"/>
    <w:rsid w:val="00E645D8"/>
    <w:rsid w:val="00E64A13"/>
    <w:rsid w:val="00E65822"/>
    <w:rsid w:val="00E70DF5"/>
    <w:rsid w:val="00E710D9"/>
    <w:rsid w:val="00E76617"/>
    <w:rsid w:val="00E769B6"/>
    <w:rsid w:val="00E76A4C"/>
    <w:rsid w:val="00E76DDD"/>
    <w:rsid w:val="00E80B25"/>
    <w:rsid w:val="00E8401E"/>
    <w:rsid w:val="00E90960"/>
    <w:rsid w:val="00E92520"/>
    <w:rsid w:val="00E92B4D"/>
    <w:rsid w:val="00E97318"/>
    <w:rsid w:val="00E977A7"/>
    <w:rsid w:val="00EA1A09"/>
    <w:rsid w:val="00EA2E33"/>
    <w:rsid w:val="00EA6871"/>
    <w:rsid w:val="00EA7E36"/>
    <w:rsid w:val="00EB1D3E"/>
    <w:rsid w:val="00EB5A15"/>
    <w:rsid w:val="00EC0D07"/>
    <w:rsid w:val="00EC3C52"/>
    <w:rsid w:val="00EC6A52"/>
    <w:rsid w:val="00EC6D53"/>
    <w:rsid w:val="00ED2686"/>
    <w:rsid w:val="00EE01E4"/>
    <w:rsid w:val="00EE21AA"/>
    <w:rsid w:val="00EE2987"/>
    <w:rsid w:val="00EE43EE"/>
    <w:rsid w:val="00EE61D6"/>
    <w:rsid w:val="00EE7AD8"/>
    <w:rsid w:val="00EF6D2C"/>
    <w:rsid w:val="00F03551"/>
    <w:rsid w:val="00F03571"/>
    <w:rsid w:val="00F04509"/>
    <w:rsid w:val="00F05C29"/>
    <w:rsid w:val="00F07046"/>
    <w:rsid w:val="00F105A1"/>
    <w:rsid w:val="00F11E9F"/>
    <w:rsid w:val="00F12948"/>
    <w:rsid w:val="00F13DE4"/>
    <w:rsid w:val="00F16C0F"/>
    <w:rsid w:val="00F239B9"/>
    <w:rsid w:val="00F23D80"/>
    <w:rsid w:val="00F23FB9"/>
    <w:rsid w:val="00F3177D"/>
    <w:rsid w:val="00F32047"/>
    <w:rsid w:val="00F33093"/>
    <w:rsid w:val="00F33965"/>
    <w:rsid w:val="00F34A8A"/>
    <w:rsid w:val="00F35A3A"/>
    <w:rsid w:val="00F40FDD"/>
    <w:rsid w:val="00F4145E"/>
    <w:rsid w:val="00F4258B"/>
    <w:rsid w:val="00F45C0F"/>
    <w:rsid w:val="00F57E02"/>
    <w:rsid w:val="00F6504C"/>
    <w:rsid w:val="00F661F9"/>
    <w:rsid w:val="00F668E8"/>
    <w:rsid w:val="00F71557"/>
    <w:rsid w:val="00F7168A"/>
    <w:rsid w:val="00F73DE3"/>
    <w:rsid w:val="00F73F99"/>
    <w:rsid w:val="00F746D5"/>
    <w:rsid w:val="00F74C39"/>
    <w:rsid w:val="00F7589A"/>
    <w:rsid w:val="00F80FBD"/>
    <w:rsid w:val="00F82B0B"/>
    <w:rsid w:val="00F836F0"/>
    <w:rsid w:val="00F843BF"/>
    <w:rsid w:val="00F84C27"/>
    <w:rsid w:val="00F86375"/>
    <w:rsid w:val="00F86FD0"/>
    <w:rsid w:val="00F87613"/>
    <w:rsid w:val="00F87EDF"/>
    <w:rsid w:val="00F9360D"/>
    <w:rsid w:val="00F966F5"/>
    <w:rsid w:val="00FA29EC"/>
    <w:rsid w:val="00FA41B6"/>
    <w:rsid w:val="00FA7412"/>
    <w:rsid w:val="00FB21A3"/>
    <w:rsid w:val="00FB49AC"/>
    <w:rsid w:val="00FB6322"/>
    <w:rsid w:val="00FB778F"/>
    <w:rsid w:val="00FC22F5"/>
    <w:rsid w:val="00FC32C6"/>
    <w:rsid w:val="00FC3348"/>
    <w:rsid w:val="00FC3922"/>
    <w:rsid w:val="00FC6E8B"/>
    <w:rsid w:val="00FD1E19"/>
    <w:rsid w:val="00FD37EE"/>
    <w:rsid w:val="00FD41BF"/>
    <w:rsid w:val="00FD4EB5"/>
    <w:rsid w:val="00FD58DF"/>
    <w:rsid w:val="00FD6D0A"/>
    <w:rsid w:val="00FD6D9F"/>
    <w:rsid w:val="00FE1156"/>
    <w:rsid w:val="00FF02FC"/>
    <w:rsid w:val="00FF1A30"/>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7E043D"/>
    <w:rsid w:val="05C14274"/>
    <w:rsid w:val="062E2CC9"/>
    <w:rsid w:val="06585F98"/>
    <w:rsid w:val="066F6337"/>
    <w:rsid w:val="068C3E93"/>
    <w:rsid w:val="06CB0518"/>
    <w:rsid w:val="06DA075B"/>
    <w:rsid w:val="06EE2458"/>
    <w:rsid w:val="06F3181D"/>
    <w:rsid w:val="06FE6B3F"/>
    <w:rsid w:val="074B1659"/>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A55352"/>
    <w:rsid w:val="20C718F8"/>
    <w:rsid w:val="21052421"/>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847B4"/>
    <w:rsid w:val="28AC2DD8"/>
    <w:rsid w:val="28EA6ACC"/>
    <w:rsid w:val="2996177C"/>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AD30D5"/>
    <w:rsid w:val="31EF0157"/>
    <w:rsid w:val="32566F80"/>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C432FE"/>
    <w:rsid w:val="35FB77A0"/>
    <w:rsid w:val="368045CB"/>
    <w:rsid w:val="36A04C6E"/>
    <w:rsid w:val="36B3674F"/>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6332AB"/>
    <w:rsid w:val="4416656F"/>
    <w:rsid w:val="442C5D93"/>
    <w:rsid w:val="444C01E3"/>
    <w:rsid w:val="447137A5"/>
    <w:rsid w:val="44BF09B5"/>
    <w:rsid w:val="44C20A33"/>
    <w:rsid w:val="44CD1324"/>
    <w:rsid w:val="452C56B4"/>
    <w:rsid w:val="453273D9"/>
    <w:rsid w:val="457D2136"/>
    <w:rsid w:val="459C0CF6"/>
    <w:rsid w:val="45CC3389"/>
    <w:rsid w:val="461A0599"/>
    <w:rsid w:val="46B1257F"/>
    <w:rsid w:val="46FF32EA"/>
    <w:rsid w:val="47750AE1"/>
    <w:rsid w:val="477A0BC3"/>
    <w:rsid w:val="477F61D9"/>
    <w:rsid w:val="47A81BD4"/>
    <w:rsid w:val="47BC11DC"/>
    <w:rsid w:val="489932CB"/>
    <w:rsid w:val="489C64B8"/>
    <w:rsid w:val="48BB76E5"/>
    <w:rsid w:val="48D8372E"/>
    <w:rsid w:val="497C50C6"/>
    <w:rsid w:val="49A339A6"/>
    <w:rsid w:val="4A1A2613"/>
    <w:rsid w:val="4A1E54ED"/>
    <w:rsid w:val="4AF16491"/>
    <w:rsid w:val="4AF854CA"/>
    <w:rsid w:val="4AFD39A8"/>
    <w:rsid w:val="4B1732F9"/>
    <w:rsid w:val="4B306168"/>
    <w:rsid w:val="4B3A0D95"/>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502D7122"/>
    <w:rsid w:val="50377F99"/>
    <w:rsid w:val="504B134F"/>
    <w:rsid w:val="50833DCB"/>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4922343"/>
    <w:rsid w:val="64BD6867"/>
    <w:rsid w:val="650C3B6C"/>
    <w:rsid w:val="651B19DD"/>
    <w:rsid w:val="655A2EB6"/>
    <w:rsid w:val="656071F2"/>
    <w:rsid w:val="658E608F"/>
    <w:rsid w:val="6599280F"/>
    <w:rsid w:val="660F0469"/>
    <w:rsid w:val="6639016F"/>
    <w:rsid w:val="66646E77"/>
    <w:rsid w:val="66664CDC"/>
    <w:rsid w:val="66C17D35"/>
    <w:rsid w:val="66DD15A4"/>
    <w:rsid w:val="677540CF"/>
    <w:rsid w:val="677F7E04"/>
    <w:rsid w:val="67A27F96"/>
    <w:rsid w:val="67CE2B39"/>
    <w:rsid w:val="68A11FFC"/>
    <w:rsid w:val="68B24209"/>
    <w:rsid w:val="68BE07D7"/>
    <w:rsid w:val="68FD36D6"/>
    <w:rsid w:val="68FF4B38"/>
    <w:rsid w:val="698B1A0E"/>
    <w:rsid w:val="698E4769"/>
    <w:rsid w:val="699A1CDE"/>
    <w:rsid w:val="69C14D19"/>
    <w:rsid w:val="6A0C16F7"/>
    <w:rsid w:val="6A1A02B8"/>
    <w:rsid w:val="6A1D1B56"/>
    <w:rsid w:val="6A7F636D"/>
    <w:rsid w:val="6ABB6394"/>
    <w:rsid w:val="6B461104"/>
    <w:rsid w:val="6B874151"/>
    <w:rsid w:val="6B886E32"/>
    <w:rsid w:val="6C6475C8"/>
    <w:rsid w:val="6CE60925"/>
    <w:rsid w:val="6CEC129F"/>
    <w:rsid w:val="6D0F1C2A"/>
    <w:rsid w:val="6D196F53"/>
    <w:rsid w:val="6D371CFB"/>
    <w:rsid w:val="6DA528C6"/>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6355C1"/>
    <w:rsid w:val="72760055"/>
    <w:rsid w:val="7289422C"/>
    <w:rsid w:val="72A14F9D"/>
    <w:rsid w:val="72C45265"/>
    <w:rsid w:val="731C7A0B"/>
    <w:rsid w:val="73217FC1"/>
    <w:rsid w:val="733F6699"/>
    <w:rsid w:val="73B74DFF"/>
    <w:rsid w:val="74321DEE"/>
    <w:rsid w:val="745B2CB0"/>
    <w:rsid w:val="74626AE3"/>
    <w:rsid w:val="74AB66DC"/>
    <w:rsid w:val="74AE541B"/>
    <w:rsid w:val="75153B55"/>
    <w:rsid w:val="751C09DA"/>
    <w:rsid w:val="75312381"/>
    <w:rsid w:val="753C557A"/>
    <w:rsid w:val="760065B4"/>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BCE470E"/>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nhideWhenUsed="0"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99"/>
    <w:pPr>
      <w:keepNext/>
      <w:keepLines/>
      <w:outlineLvl w:val="0"/>
    </w:pPr>
    <w:rPr>
      <w:rFonts w:eastAsia="仿宋"/>
      <w:b/>
      <w:bCs/>
      <w:kern w:val="44"/>
      <w:sz w:val="32"/>
      <w:szCs w:val="44"/>
      <w:lang w:val="zh-CN"/>
    </w:rPr>
  </w:style>
  <w:style w:type="paragraph" w:styleId="3">
    <w:name w:val="heading 2"/>
    <w:basedOn w:val="1"/>
    <w:next w:val="1"/>
    <w:link w:val="31"/>
    <w:qFormat/>
    <w:uiPriority w:val="99"/>
    <w:pPr>
      <w:keepNext/>
      <w:keepLines/>
      <w:outlineLvl w:val="1"/>
    </w:pPr>
    <w:rPr>
      <w:rFonts w:ascii="Cambria" w:hAnsi="Cambria" w:eastAsia="仿宋"/>
      <w:b/>
      <w:bCs/>
      <w:sz w:val="30"/>
      <w:szCs w:val="32"/>
      <w:lang w:val="zh-CN"/>
    </w:rPr>
  </w:style>
  <w:style w:type="paragraph" w:styleId="4">
    <w:name w:val="heading 4"/>
    <w:basedOn w:val="1"/>
    <w:next w:val="1"/>
    <w:link w:val="10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7">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32"/>
    <w:semiHidden/>
    <w:qFormat/>
    <w:uiPriority w:val="99"/>
    <w:pPr>
      <w:jc w:val="left"/>
    </w:pPr>
    <w:rPr>
      <w:szCs w:val="21"/>
      <w:lang w:val="zh-CN"/>
    </w:rPr>
  </w:style>
  <w:style w:type="paragraph" w:styleId="6">
    <w:name w:val="Body Text Indent"/>
    <w:basedOn w:val="1"/>
    <w:link w:val="98"/>
    <w:semiHidden/>
    <w:qFormat/>
    <w:uiPriority w:val="99"/>
    <w:pPr>
      <w:spacing w:line="360" w:lineRule="auto"/>
      <w:ind w:firstLine="480" w:firstLineChars="200"/>
    </w:pPr>
    <w:rPr>
      <w:sz w:val="24"/>
      <w:lang w:val="zh-CN"/>
    </w:rPr>
  </w:style>
  <w:style w:type="paragraph" w:styleId="7">
    <w:name w:val="Body Text Indent 2"/>
    <w:basedOn w:val="1"/>
    <w:link w:val="29"/>
    <w:qFormat/>
    <w:uiPriority w:val="0"/>
    <w:pPr>
      <w:ind w:firstLine="560" w:firstLineChars="200"/>
    </w:pPr>
    <w:rPr>
      <w:sz w:val="28"/>
      <w:szCs w:val="20"/>
      <w:lang w:val="zh-CN"/>
    </w:rPr>
  </w:style>
  <w:style w:type="paragraph" w:styleId="8">
    <w:name w:val="Balloon Text"/>
    <w:basedOn w:val="1"/>
    <w:link w:val="33"/>
    <w:semiHidden/>
    <w:qFormat/>
    <w:uiPriority w:val="99"/>
    <w:rPr>
      <w:sz w:val="18"/>
      <w:szCs w:val="18"/>
      <w:lang w:val="zh-CN"/>
    </w:rPr>
  </w:style>
  <w:style w:type="paragraph" w:styleId="9">
    <w:name w:val="footer"/>
    <w:basedOn w:val="1"/>
    <w:link w:val="24"/>
    <w:unhideWhenUsed/>
    <w:qFormat/>
    <w:uiPriority w:val="0"/>
    <w:pPr>
      <w:tabs>
        <w:tab w:val="center" w:pos="4153"/>
        <w:tab w:val="right" w:pos="8306"/>
      </w:tabs>
      <w:snapToGrid w:val="0"/>
      <w:jc w:val="left"/>
    </w:pPr>
    <w:rPr>
      <w:kern w:val="0"/>
      <w:sz w:val="18"/>
      <w:szCs w:val="18"/>
      <w:lang w:val="zh-CN"/>
    </w:rPr>
  </w:style>
  <w:style w:type="paragraph" w:styleId="10">
    <w:name w:val="header"/>
    <w:basedOn w:val="1"/>
    <w:link w:val="23"/>
    <w:unhideWhenUsed/>
    <w:qFormat/>
    <w:uiPriority w:val="0"/>
    <w:pPr>
      <w:pBdr>
        <w:bottom w:val="single" w:color="auto" w:sz="6" w:space="1"/>
      </w:pBdr>
      <w:tabs>
        <w:tab w:val="center" w:pos="4153"/>
        <w:tab w:val="right" w:pos="8306"/>
      </w:tabs>
      <w:snapToGrid w:val="0"/>
      <w:jc w:val="center"/>
    </w:pPr>
    <w:rPr>
      <w:kern w:val="0"/>
      <w:sz w:val="18"/>
      <w:szCs w:val="18"/>
      <w:lang w:val="zh-CN"/>
    </w:rPr>
  </w:style>
  <w:style w:type="paragraph" w:styleId="11">
    <w:name w:val="footnote text"/>
    <w:basedOn w:val="1"/>
    <w:link w:val="99"/>
    <w:semiHidden/>
    <w:unhideWhenUsed/>
    <w:qFormat/>
    <w:uiPriority w:val="99"/>
    <w:pPr>
      <w:snapToGrid w:val="0"/>
      <w:jc w:val="left"/>
    </w:pPr>
    <w:rPr>
      <w:sz w:val="18"/>
      <w:szCs w:val="18"/>
      <w:lang w:val="zh-CN"/>
    </w:rPr>
  </w:style>
  <w:style w:type="paragraph" w:styleId="12">
    <w:name w:val="HTML Preformatted"/>
    <w:basedOn w:val="1"/>
    <w:link w:val="2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13">
    <w:name w:val="Normal (Web)"/>
    <w:basedOn w:val="1"/>
    <w:qFormat/>
    <w:uiPriority w:val="99"/>
    <w:pPr>
      <w:widowControl/>
      <w:spacing w:before="240" w:after="240"/>
      <w:jc w:val="left"/>
    </w:pPr>
    <w:rPr>
      <w:rFonts w:ascii="宋体" w:hAnsi="宋体" w:cs="宋体"/>
      <w:kern w:val="0"/>
      <w:sz w:val="24"/>
    </w:rPr>
  </w:style>
  <w:style w:type="paragraph" w:styleId="14">
    <w:name w:val="annotation subject"/>
    <w:basedOn w:val="5"/>
    <w:next w:val="5"/>
    <w:link w:val="35"/>
    <w:semiHidden/>
    <w:qFormat/>
    <w:uiPriority w:val="99"/>
    <w:rPr>
      <w:b/>
      <w:bCs/>
    </w:rPr>
  </w:style>
  <w:style w:type="table" w:styleId="16">
    <w:name w:val="Table Grid"/>
    <w:basedOn w:val="15"/>
    <w:qFormat/>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8">
    <w:name w:val="Strong"/>
    <w:qFormat/>
    <w:uiPriority w:val="0"/>
    <w:rPr>
      <w:b/>
      <w:bCs/>
    </w:rPr>
  </w:style>
  <w:style w:type="character" w:styleId="19">
    <w:name w:val="page number"/>
    <w:qFormat/>
    <w:uiPriority w:val="0"/>
    <w:rPr>
      <w:rFonts w:cs="Times New Roman"/>
    </w:rPr>
  </w:style>
  <w:style w:type="character" w:styleId="20">
    <w:name w:val="Hyperlink"/>
    <w:semiHidden/>
    <w:qFormat/>
    <w:uiPriority w:val="99"/>
    <w:rPr>
      <w:rFonts w:cs="Times New Roman"/>
      <w:color w:val="0000FF"/>
      <w:u w:val="single"/>
    </w:rPr>
  </w:style>
  <w:style w:type="character" w:styleId="21">
    <w:name w:val="annotation reference"/>
    <w:semiHidden/>
    <w:qFormat/>
    <w:uiPriority w:val="99"/>
    <w:rPr>
      <w:rFonts w:cs="Times New Roman"/>
      <w:sz w:val="21"/>
      <w:szCs w:val="21"/>
    </w:rPr>
  </w:style>
  <w:style w:type="character" w:styleId="22">
    <w:name w:val="footnote reference"/>
    <w:semiHidden/>
    <w:unhideWhenUsed/>
    <w:qFormat/>
    <w:uiPriority w:val="99"/>
    <w:rPr>
      <w:vertAlign w:val="superscript"/>
    </w:rPr>
  </w:style>
  <w:style w:type="character" w:customStyle="1" w:styleId="23">
    <w:name w:val="页眉 字符"/>
    <w:link w:val="10"/>
    <w:qFormat/>
    <w:uiPriority w:val="0"/>
    <w:rPr>
      <w:rFonts w:ascii="Times New Roman" w:hAnsi="Times New Roman" w:eastAsia="宋体" w:cs="Times New Roman"/>
      <w:sz w:val="18"/>
      <w:szCs w:val="18"/>
    </w:rPr>
  </w:style>
  <w:style w:type="character" w:customStyle="1" w:styleId="24">
    <w:name w:val="页脚 字符"/>
    <w:link w:val="9"/>
    <w:qFormat/>
    <w:uiPriority w:val="99"/>
    <w:rPr>
      <w:rFonts w:ascii="Times New Roman" w:hAnsi="Times New Roman" w:eastAsia="宋体" w:cs="Times New Roman"/>
      <w:sz w:val="18"/>
      <w:szCs w:val="18"/>
    </w:rPr>
  </w:style>
  <w:style w:type="character" w:customStyle="1" w:styleId="25">
    <w:name w:val="HTML 预设格式 字符"/>
    <w:link w:val="12"/>
    <w:qFormat/>
    <w:uiPriority w:val="0"/>
    <w:rPr>
      <w:rFonts w:ascii="宋体" w:hAnsi="宋体" w:cs="宋体"/>
      <w:sz w:val="24"/>
      <w:szCs w:val="24"/>
    </w:rPr>
  </w:style>
  <w:style w:type="character" w:customStyle="1" w:styleId="26">
    <w:name w:val="HTML 预设格式 Char1"/>
    <w:semiHidden/>
    <w:qFormat/>
    <w:uiPriority w:val="99"/>
    <w:rPr>
      <w:rFonts w:ascii="Courier New" w:hAnsi="Courier New" w:cs="Courier New"/>
      <w:kern w:val="2"/>
    </w:rPr>
  </w:style>
  <w:style w:type="paragraph" w:customStyle="1" w:styleId="27">
    <w:name w:val="Char Char Char Char Char Char1 Char Char Char Char"/>
    <w:basedOn w:val="1"/>
    <w:qFormat/>
    <w:uiPriority w:val="0"/>
    <w:pPr>
      <w:widowControl/>
      <w:spacing w:after="160" w:line="240" w:lineRule="exact"/>
      <w:jc w:val="left"/>
    </w:pPr>
    <w:rPr>
      <w:szCs w:val="20"/>
    </w:rPr>
  </w:style>
  <w:style w:type="character" w:customStyle="1" w:styleId="28">
    <w:name w:val="html_txt1"/>
    <w:qFormat/>
    <w:uiPriority w:val="0"/>
    <w:rPr>
      <w:color w:val="000000"/>
    </w:rPr>
  </w:style>
  <w:style w:type="character" w:customStyle="1" w:styleId="29">
    <w:name w:val="正文文本缩进 2 字符"/>
    <w:link w:val="7"/>
    <w:qFormat/>
    <w:uiPriority w:val="0"/>
    <w:rPr>
      <w:rFonts w:ascii="Times New Roman" w:hAnsi="Times New Roman"/>
      <w:kern w:val="2"/>
      <w:sz w:val="28"/>
    </w:rPr>
  </w:style>
  <w:style w:type="character" w:customStyle="1" w:styleId="30">
    <w:name w:val="标题 1 字符"/>
    <w:link w:val="2"/>
    <w:qFormat/>
    <w:uiPriority w:val="99"/>
    <w:rPr>
      <w:rFonts w:ascii="Times New Roman" w:hAnsi="Times New Roman" w:eastAsia="仿宋"/>
      <w:b/>
      <w:bCs/>
      <w:kern w:val="44"/>
      <w:sz w:val="32"/>
      <w:szCs w:val="44"/>
    </w:rPr>
  </w:style>
  <w:style w:type="character" w:customStyle="1" w:styleId="31">
    <w:name w:val="标题 2 字符"/>
    <w:link w:val="3"/>
    <w:qFormat/>
    <w:uiPriority w:val="99"/>
    <w:rPr>
      <w:rFonts w:ascii="Cambria" w:hAnsi="Cambria" w:eastAsia="仿宋"/>
      <w:b/>
      <w:bCs/>
      <w:kern w:val="2"/>
      <w:sz w:val="30"/>
      <w:szCs w:val="32"/>
    </w:rPr>
  </w:style>
  <w:style w:type="character" w:customStyle="1" w:styleId="32">
    <w:name w:val="批注文字 字符"/>
    <w:link w:val="5"/>
    <w:semiHidden/>
    <w:qFormat/>
    <w:uiPriority w:val="99"/>
    <w:rPr>
      <w:rFonts w:ascii="Times New Roman" w:hAnsi="Times New Roman"/>
      <w:kern w:val="2"/>
      <w:sz w:val="21"/>
      <w:szCs w:val="21"/>
    </w:rPr>
  </w:style>
  <w:style w:type="character" w:customStyle="1" w:styleId="33">
    <w:name w:val="批注框文本 字符"/>
    <w:link w:val="8"/>
    <w:semiHidden/>
    <w:qFormat/>
    <w:uiPriority w:val="99"/>
    <w:rPr>
      <w:rFonts w:ascii="Times New Roman" w:hAnsi="Times New Roman"/>
      <w:kern w:val="2"/>
      <w:sz w:val="18"/>
      <w:szCs w:val="18"/>
    </w:rPr>
  </w:style>
  <w:style w:type="paragraph" w:customStyle="1" w:styleId="34">
    <w:name w:val="No Spacing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5">
    <w:name w:val="批注主题 字符"/>
    <w:link w:val="14"/>
    <w:semiHidden/>
    <w:qFormat/>
    <w:uiPriority w:val="99"/>
    <w:rPr>
      <w:rFonts w:ascii="Times New Roman" w:hAnsi="Times New Roman"/>
      <w:b/>
      <w:bCs/>
      <w:kern w:val="2"/>
      <w:sz w:val="21"/>
      <w:szCs w:val="21"/>
    </w:rPr>
  </w:style>
  <w:style w:type="paragraph" w:styleId="36">
    <w:name w:val="List Paragraph"/>
    <w:basedOn w:val="1"/>
    <w:qFormat/>
    <w:uiPriority w:val="99"/>
    <w:pPr>
      <w:ind w:firstLine="420" w:firstLineChars="200"/>
    </w:pPr>
    <w:rPr>
      <w:szCs w:val="21"/>
    </w:rPr>
  </w:style>
  <w:style w:type="character" w:customStyle="1" w:styleId="37">
    <w:name w:val="已访问的超链接1"/>
    <w:semiHidden/>
    <w:qFormat/>
    <w:uiPriority w:val="99"/>
    <w:rPr>
      <w:rFonts w:cs="Times New Roman"/>
      <w:color w:val="800080"/>
      <w:u w:val="single"/>
    </w:rPr>
  </w:style>
  <w:style w:type="paragraph" w:customStyle="1" w:styleId="38">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6"/>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8"/>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9"/>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0"/>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4">
    <w:name w:val="font11"/>
    <w:basedOn w:val="1"/>
    <w:qFormat/>
    <w:uiPriority w:val="99"/>
    <w:pPr>
      <w:widowControl/>
      <w:spacing w:before="100" w:beforeAutospacing="1" w:after="100" w:afterAutospacing="1"/>
      <w:jc w:val="left"/>
    </w:pPr>
    <w:rPr>
      <w:color w:val="000000"/>
      <w:kern w:val="0"/>
      <w:sz w:val="18"/>
      <w:szCs w:val="18"/>
    </w:rPr>
  </w:style>
  <w:style w:type="paragraph" w:customStyle="1" w:styleId="45">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6">
    <w:name w:val="font13"/>
    <w:basedOn w:val="1"/>
    <w:qFormat/>
    <w:uiPriority w:val="99"/>
    <w:pPr>
      <w:widowControl/>
      <w:spacing w:before="100" w:beforeAutospacing="1" w:after="100" w:afterAutospacing="1"/>
      <w:jc w:val="left"/>
    </w:pPr>
    <w:rPr>
      <w:kern w:val="0"/>
      <w:sz w:val="18"/>
      <w:szCs w:val="18"/>
    </w:rPr>
  </w:style>
  <w:style w:type="paragraph" w:customStyle="1" w:styleId="47">
    <w:name w:val="font14"/>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8">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9">
    <w:name w:val="font16"/>
    <w:basedOn w:val="1"/>
    <w:qFormat/>
    <w:uiPriority w:val="99"/>
    <w:pPr>
      <w:widowControl/>
      <w:spacing w:before="100" w:beforeAutospacing="1" w:after="100" w:afterAutospacing="1"/>
      <w:jc w:val="left"/>
    </w:pPr>
    <w:rPr>
      <w:rFonts w:ascii="宋体" w:hAnsi="宋体" w:cs="宋体"/>
      <w:b/>
      <w:bCs/>
      <w:kern w:val="0"/>
      <w:sz w:val="18"/>
      <w:szCs w:val="18"/>
    </w:rPr>
  </w:style>
  <w:style w:type="paragraph" w:customStyle="1" w:styleId="50">
    <w:name w:val="font17"/>
    <w:basedOn w:val="1"/>
    <w:qFormat/>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1">
    <w:name w:val="xl63"/>
    <w:basedOn w:val="1"/>
    <w:qFormat/>
    <w:uiPriority w:val="99"/>
    <w:pPr>
      <w:widowControl/>
      <w:spacing w:before="100" w:beforeAutospacing="1" w:after="100" w:afterAutospacing="1"/>
      <w:jc w:val="center"/>
    </w:pPr>
    <w:rPr>
      <w:kern w:val="0"/>
      <w:sz w:val="16"/>
      <w:szCs w:val="16"/>
    </w:rPr>
  </w:style>
  <w:style w:type="paragraph" w:customStyle="1" w:styleId="52">
    <w:name w:val="xl64"/>
    <w:basedOn w:val="1"/>
    <w:qFormat/>
    <w:uiPriority w:val="99"/>
    <w:pPr>
      <w:widowControl/>
      <w:spacing w:before="100" w:beforeAutospacing="1" w:after="100" w:afterAutospacing="1"/>
      <w:jc w:val="left"/>
    </w:pPr>
    <w:rPr>
      <w:kern w:val="0"/>
      <w:sz w:val="16"/>
      <w:szCs w:val="16"/>
    </w:rPr>
  </w:style>
  <w:style w:type="paragraph" w:customStyle="1" w:styleId="53">
    <w:name w:val="xl6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6">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7">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8">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9">
    <w:name w:val="xl71"/>
    <w:basedOn w:val="1"/>
    <w:qFormat/>
    <w:uiPriority w:val="99"/>
    <w:pPr>
      <w:widowControl/>
      <w:spacing w:before="100" w:beforeAutospacing="1" w:after="100" w:afterAutospacing="1"/>
      <w:jc w:val="center"/>
    </w:pPr>
    <w:rPr>
      <w:kern w:val="0"/>
      <w:sz w:val="18"/>
      <w:szCs w:val="18"/>
    </w:rPr>
  </w:style>
  <w:style w:type="paragraph" w:customStyle="1" w:styleId="60">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1">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2">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3">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4">
    <w:name w:val="xl7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6">
    <w:name w:val="xl78"/>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7">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8">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9">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70">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1">
    <w:name w:val="xl8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2">
    <w:name w:val="xl84"/>
    <w:basedOn w:val="1"/>
    <w:qFormat/>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3">
    <w:name w:val="xl85"/>
    <w:basedOn w:val="1"/>
    <w:qFormat/>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4">
    <w:name w:val="xl86"/>
    <w:basedOn w:val="1"/>
    <w:qFormat/>
    <w:uiPriority w:val="99"/>
    <w:pPr>
      <w:widowControl/>
      <w:pBdr>
        <w:left w:val="single" w:color="auto" w:sz="4" w:space="0"/>
      </w:pBdr>
      <w:spacing w:before="100" w:beforeAutospacing="1" w:after="100" w:afterAutospacing="1"/>
      <w:jc w:val="center"/>
    </w:pPr>
    <w:rPr>
      <w:kern w:val="0"/>
      <w:sz w:val="18"/>
      <w:szCs w:val="18"/>
    </w:rPr>
  </w:style>
  <w:style w:type="paragraph" w:customStyle="1" w:styleId="75">
    <w:name w:val="xl87"/>
    <w:basedOn w:val="1"/>
    <w:qFormat/>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6">
    <w:name w:val="xl88"/>
    <w:basedOn w:val="1"/>
    <w:qFormat/>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7">
    <w:name w:val="xl89"/>
    <w:basedOn w:val="1"/>
    <w:qFormat/>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8">
    <w:name w:val="xl90"/>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1"/>
    <w:basedOn w:val="1"/>
    <w:qFormat/>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80">
    <w:name w:val="xl92"/>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1">
    <w:name w:val="xl93"/>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4"/>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3">
    <w:name w:val="xl9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8"/>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7">
    <w:name w:val="xl99"/>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8">
    <w:name w:val="xl100"/>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1"/>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90">
    <w:name w:val="xl102"/>
    <w:basedOn w:val="1"/>
    <w:qFormat/>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3"/>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2">
    <w:name w:val="xl104"/>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5"/>
    <w:basedOn w:val="1"/>
    <w:qFormat/>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4">
    <w:name w:val="xl10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5">
    <w:name w:val="xl107"/>
    <w:basedOn w:val="1"/>
    <w:qFormat/>
    <w:uiPriority w:val="99"/>
    <w:pPr>
      <w:widowControl/>
      <w:pBdr>
        <w:bottom w:val="single" w:color="auto" w:sz="4" w:space="0"/>
      </w:pBdr>
      <w:spacing w:before="100" w:beforeAutospacing="1" w:after="100" w:afterAutospacing="1"/>
      <w:jc w:val="center"/>
    </w:pPr>
    <w:rPr>
      <w:b/>
      <w:bCs/>
      <w:kern w:val="0"/>
      <w:sz w:val="24"/>
    </w:rPr>
  </w:style>
  <w:style w:type="paragraph" w:customStyle="1" w:styleId="96">
    <w:name w:val="xl108"/>
    <w:basedOn w:val="1"/>
    <w:qFormat/>
    <w:uiPriority w:val="99"/>
    <w:pPr>
      <w:widowControl/>
      <w:pBdr>
        <w:bottom w:val="single" w:color="auto" w:sz="4" w:space="0"/>
      </w:pBdr>
      <w:spacing w:before="100" w:beforeAutospacing="1" w:after="100" w:afterAutospacing="1"/>
      <w:jc w:val="center"/>
    </w:pPr>
    <w:rPr>
      <w:kern w:val="0"/>
      <w:sz w:val="24"/>
    </w:rPr>
  </w:style>
  <w:style w:type="character" w:customStyle="1" w:styleId="97">
    <w:name w:val="long_text1"/>
    <w:qFormat/>
    <w:uiPriority w:val="99"/>
    <w:rPr>
      <w:rFonts w:cs="Times New Roman"/>
      <w:sz w:val="20"/>
      <w:szCs w:val="20"/>
    </w:rPr>
  </w:style>
  <w:style w:type="character" w:customStyle="1" w:styleId="98">
    <w:name w:val="正文文本缩进 字符"/>
    <w:link w:val="6"/>
    <w:semiHidden/>
    <w:qFormat/>
    <w:uiPriority w:val="99"/>
    <w:rPr>
      <w:rFonts w:ascii="Times New Roman" w:hAnsi="Times New Roman"/>
      <w:kern w:val="2"/>
      <w:sz w:val="24"/>
      <w:szCs w:val="24"/>
    </w:rPr>
  </w:style>
  <w:style w:type="character" w:customStyle="1" w:styleId="99">
    <w:name w:val="脚注文本 字符"/>
    <w:link w:val="11"/>
    <w:semiHidden/>
    <w:qFormat/>
    <w:uiPriority w:val="99"/>
    <w:rPr>
      <w:rFonts w:ascii="Times New Roman" w:hAnsi="Times New Roman"/>
      <w:kern w:val="2"/>
      <w:sz w:val="18"/>
      <w:szCs w:val="18"/>
    </w:rPr>
  </w:style>
  <w:style w:type="paragraph" w:customStyle="1" w:styleId="100">
    <w:name w:val="样式1"/>
    <w:basedOn w:val="2"/>
    <w:qFormat/>
    <w:uiPriority w:val="0"/>
    <w:pPr>
      <w:spacing w:afterLines="100"/>
      <w:jc w:val="center"/>
    </w:pPr>
    <w:rPr>
      <w:rFonts w:eastAsia="黑体"/>
      <w:b w:val="0"/>
      <w:bCs w:val="0"/>
    </w:rPr>
  </w:style>
  <w:style w:type="character" w:customStyle="1" w:styleId="101">
    <w:name w:val="标题 4 字符"/>
    <w:basedOn w:val="17"/>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3948</Words>
  <Characters>4077</Characters>
  <Lines>31</Lines>
  <Paragraphs>8</Paragraphs>
  <TotalTime>73</TotalTime>
  <ScaleCrop>false</ScaleCrop>
  <LinksUpToDate>false</LinksUpToDate>
  <CharactersWithSpaces>4087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2024-12-14T09:12:00Z</dcterms:created>
  <dc:creator>user</dc:creator>
  <cp:lastModifiedBy>彼岸花开</cp:lastModifiedBy>
  <cp:lastPrinted>2024-11-20T08:55:00Z</cp:lastPrinted>
  <dcterms:modified xsi:type="dcterms:W3CDTF">2025-05-06T08:45:03Z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D25CC9BEE7804387A87DCF25AB2ED4CD_13</vt:lpwstr>
  </property>
  <property fmtid="{D5CDD505-2E9C-101B-9397-08002B2CF9AE}" pid="4" name="KSOTemplateDocerSaveRecord">
    <vt:lpwstr>eyJoZGlkIjoiNmU0Y2Q2ZmMwNzE0ODU4MTdlYmU0MDNhMjU0MjViN2QiLCJ1c2VySWQiOiIxNTUxMjE5MDAzIn0=</vt:lpwstr>
  </property>
</Properties>
</file>