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0A374"/>
    <w:p w14:paraId="22C06232">
      <w:pPr>
        <w:spacing w:line="520" w:lineRule="exact"/>
        <w:ind w:right="329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教务处关于开展2025年</w:t>
      </w:r>
    </w:p>
    <w:p w14:paraId="18B43642">
      <w:pPr>
        <w:spacing w:line="520" w:lineRule="exact"/>
        <w:ind w:right="329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北京高等教育“本科教学改革创新项目”申报的通知</w:t>
      </w:r>
    </w:p>
    <w:p w14:paraId="6D2A92BA">
      <w:pPr>
        <w:spacing w:line="560" w:lineRule="exact"/>
      </w:pPr>
    </w:p>
    <w:p w14:paraId="285A02F0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各教学单位：</w:t>
      </w:r>
    </w:p>
    <w:p w14:paraId="2075150A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《北京市教育委员会关于开展2025年北京高等教育“本科教学改革创新项目”建设工作的通知》（京教函〔2025〕610号）要求，教务处现组织开展2025年北京高等教育“本科教学改革创新项目”申报工作，具体工作通知如下。</w:t>
      </w:r>
    </w:p>
    <w:p w14:paraId="79F75139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一、申报条件</w:t>
      </w:r>
    </w:p>
    <w:p w14:paraId="30136391"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申报项目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应积极倡导并体现“项目制、跨学科、实战化、协同式”的教学改革导向，鼓励突破传统模式，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可以是综合性育人改革，也可以是专业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建设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、课程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教学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、教材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研发</w:t>
      </w:r>
      <w:r>
        <w:rPr>
          <w:rFonts w:hint="eastAsia" w:ascii="仿宋_GB2312" w:hAnsi="Times New Roman" w:eastAsia="仿宋_GB2312" w:cs="Times New Roman"/>
          <w:sz w:val="32"/>
          <w:szCs w:val="32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领域的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单项改革，具体形式不限。</w:t>
      </w:r>
    </w:p>
    <w:p w14:paraId="1C0CB407"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应重点围绕人工智能赋能教育教学转型、复合型创新人才培养模式探索、本硕博衔接贯通培养机制优化、服务新域新质教育发展需求、深化产教融合与校企协同育人等关键方向展开实践与研究；同时，应结合高等教育空间布局优化，加强思政课程与课程思政建设，完善“三全育人”机制，落实“五育并举”要求，积极服务“四新”建设，全面提升教师育人能力与学生综合素养，促进优质教育资源共建共享，加快构建中国特色、世界水平的一流本科人才培养体系。</w:t>
      </w:r>
    </w:p>
    <w:p w14:paraId="5FFF1CDF"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申报项目需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满足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以下基本条件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：</w:t>
      </w:r>
    </w:p>
    <w:p w14:paraId="1B53A653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坚持问题导向，能够精准聚焦并切实回应人才培养中的具体问题；</w:t>
      </w:r>
    </w:p>
    <w:p w14:paraId="62F7E5B9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具备一定的建设基础，并已取得初步的改革成果或进展；</w:t>
      </w:r>
    </w:p>
    <w:p w14:paraId="6835DFF8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拥有系统完善的改革建设思路与明确的创新点；</w:t>
      </w:r>
    </w:p>
    <w:p w14:paraId="7B08512B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预期建设成效显著,其成果应具备良好的应用价值与推广潜力。</w:t>
      </w:r>
    </w:p>
    <w:p w14:paraId="51170806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此外，为鼓励青年教师成长，在项目水平相当的情况下，评审将适当向青年教师倾斜。</w:t>
      </w:r>
    </w:p>
    <w:p w14:paraId="54C20724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二、项目类型</w:t>
      </w:r>
    </w:p>
    <w:p w14:paraId="345B5241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根据北京市教委要求，立项类型分为一般项目、重点项目和重大项目三类，各类项目建设周期均为2-3年。</w:t>
      </w:r>
    </w:p>
    <w:p w14:paraId="0B279C94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三、项目管理</w:t>
      </w:r>
    </w:p>
    <w:p w14:paraId="6462CDCB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　 2025年北京高等教育“本科教学改革创新项目”经学校申报及评审后由市教委统一公布。项目经过建设周期并通过验收程序后，市教委将公布验收结果，同时发放结题验收证书。</w:t>
      </w:r>
    </w:p>
    <w:p w14:paraId="37DE3A51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建设项目均需在平台直接填报并提交项目建设中期报告及结题报告。一般项目由各校自行组织中期检查及结题验收，重点和重大项目由市教委统一组织中期检查及结题验收。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 w14:paraId="42AC8BBD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四、工作要求</w:t>
      </w:r>
    </w:p>
    <w:p w14:paraId="41904828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项目应紧密对接国家重大战略部署和北京市经济社会发展需求，充分发挥各高校的办学优势与学科特色，坚持以立德树人为根本，以提升人才培养能力为核心，系统推进教育教学改革。通过支持一批具有前瞻性、创新性的本科人才培养建设项目，切实发挥教学改革在优化育人模式、提高育人质量中的引领与支撑作用，推动北京高等教育内涵式发展。</w:t>
      </w:r>
    </w:p>
    <w:p w14:paraId="1701BDA0"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各教学单位应结合自身学科专业优势和特色，积极准备，科学论证，踊跃申报。</w:t>
      </w:r>
      <w:r>
        <w:rPr>
          <w:rFonts w:hint="eastAsia" w:ascii="仿宋_GB2312" w:hAnsi="Times New Roman" w:eastAsia="仿宋_GB2312" w:cs="Times New Roman"/>
          <w:b/>
          <w:bCs/>
          <w:color w:val="auto"/>
          <w:sz w:val="32"/>
          <w:szCs w:val="32"/>
        </w:rPr>
        <w:t>每个教学单位</w:t>
      </w:r>
      <w:r>
        <w:rPr>
          <w:rFonts w:ascii="仿宋_GB2312" w:hAnsi="Times New Roman" w:eastAsia="仿宋_GB2312" w:cs="Times New Roman"/>
          <w:b/>
          <w:bCs/>
          <w:color w:val="auto"/>
          <w:sz w:val="32"/>
          <w:szCs w:val="32"/>
        </w:rPr>
        <w:t>限报</w:t>
      </w:r>
      <w:r>
        <w:rPr>
          <w:rFonts w:hint="eastAsia" w:ascii="仿宋_GB2312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1</w:t>
      </w:r>
      <w:r>
        <w:rPr>
          <w:rFonts w:ascii="仿宋_GB2312" w:hAnsi="Times New Roman" w:eastAsia="仿宋_GB2312" w:cs="Times New Roman"/>
          <w:b/>
          <w:bCs/>
          <w:color w:val="auto"/>
          <w:sz w:val="32"/>
          <w:szCs w:val="32"/>
        </w:rPr>
        <w:t>项</w:t>
      </w:r>
      <w:r>
        <w:rPr>
          <w:rFonts w:hint="eastAsia" w:ascii="仿宋_GB2312" w:hAnsi="Times New Roman" w:eastAsia="仿宋_GB2312" w:cs="Times New Roman"/>
          <w:b/>
          <w:bCs/>
          <w:color w:val="auto"/>
          <w:sz w:val="32"/>
          <w:szCs w:val="32"/>
        </w:rPr>
        <w:t>，申报时不区分项目类型，由学校统一组织评选</w:t>
      </w:r>
      <w:r>
        <w:rPr>
          <w:rFonts w:ascii="仿宋_GB2312" w:hAnsi="Times New Roman" w:eastAsia="仿宋_GB2312" w:cs="Times New Roman"/>
          <w:b/>
          <w:bCs/>
          <w:color w:val="auto"/>
          <w:sz w:val="32"/>
          <w:szCs w:val="32"/>
        </w:rPr>
        <w:t>。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 xml:space="preserve"> </w:t>
      </w:r>
    </w:p>
    <w:p w14:paraId="7B3726D3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五、工作安排</w:t>
      </w:r>
    </w:p>
    <w:p w14:paraId="64C6C78E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请各教学单位按要求填写《2025年北京高等教育“本科教学改革创新项目”申报书》（附件1）和《2025年北京高等教育“本科教学改革创新项目”申请汇总表》（附件2），并于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日下班前将电子版材料（申请书、汇总表）发送至jyk@cueb.edu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.cn。</w:t>
      </w:r>
    </w:p>
    <w:p w14:paraId="769D5FAE"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联系人：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郝老师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联系电话：83951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322</w:t>
      </w:r>
    </w:p>
    <w:p w14:paraId="6AF417B9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    </w:t>
      </w:r>
    </w:p>
    <w:p w14:paraId="6BD64832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30A0903E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             教务处</w:t>
      </w:r>
    </w:p>
    <w:p w14:paraId="1CC779B7">
      <w:pPr>
        <w:tabs>
          <w:tab w:val="left" w:pos="142"/>
        </w:tabs>
        <w:spacing w:line="560" w:lineRule="exact"/>
        <w:ind w:firstLine="5440" w:firstLineChars="17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ascii="仿宋_GB2312" w:hAnsi="Times New Roman" w:eastAsia="仿宋_GB2312" w:cs="Times New Roman"/>
          <w:sz w:val="32"/>
          <w:szCs w:val="32"/>
        </w:rPr>
        <w:t>02</w:t>
      </w:r>
      <w:r>
        <w:rPr>
          <w:rFonts w:hint="eastAsia" w:ascii="仿宋_GB2312" w:hAnsi="Times New Roman" w:eastAsia="仿宋_GB2312" w:cs="Times New Roman"/>
          <w:sz w:val="32"/>
          <w:szCs w:val="32"/>
        </w:rPr>
        <w:t>5年11月1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tbl>
      <w:tblPr>
        <w:tblStyle w:val="9"/>
        <w:tblpPr w:leftFromText="180" w:rightFromText="180" w:vertAnchor="text" w:horzAnchor="margin" w:tblpX="-431" w:tblpY="452"/>
        <w:tblW w:w="103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9018"/>
      </w:tblGrid>
      <w:tr w14:paraId="56200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284" w:type="dxa"/>
          </w:tcPr>
          <w:p w14:paraId="28F762C6">
            <w:pPr>
              <w:spacing w:line="560" w:lineRule="exact"/>
              <w:rPr>
                <w:rFonts w:ascii="仿宋_GB2312" w:hAnsi="Times New Roman" w:eastAsia="仿宋_GB2312" w:cs="Times New Roman"/>
                <w:sz w:val="28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32"/>
              </w:rPr>
              <w:t xml:space="preserve">  附件：</w:t>
            </w:r>
          </w:p>
        </w:tc>
        <w:tc>
          <w:tcPr>
            <w:tcW w:w="9018" w:type="dxa"/>
          </w:tcPr>
          <w:p w14:paraId="57F920A0">
            <w:pPr>
              <w:spacing w:line="560" w:lineRule="exact"/>
              <w:jc w:val="lef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1</w:t>
            </w:r>
            <w:r>
              <w:rPr>
                <w:rFonts w:ascii="仿宋_GB2312" w:hAnsi="Times New Roman" w:eastAsia="仿宋_GB2312" w:cs="Times New Roman"/>
                <w:sz w:val="32"/>
                <w:szCs w:val="32"/>
              </w:rPr>
              <w:t>.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2025年北京高等教育“本科教学改革创新项目”申请表</w:t>
            </w:r>
          </w:p>
        </w:tc>
      </w:tr>
      <w:tr w14:paraId="41809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84" w:type="dxa"/>
          </w:tcPr>
          <w:p w14:paraId="3D98152F">
            <w:pPr>
              <w:spacing w:line="560" w:lineRule="exact"/>
              <w:rPr>
                <w:rFonts w:ascii="仿宋_GB2312" w:hAnsi="Times New Roman" w:eastAsia="仿宋_GB2312" w:cs="Times New Roman"/>
                <w:sz w:val="28"/>
                <w:szCs w:val="32"/>
              </w:rPr>
            </w:pPr>
          </w:p>
        </w:tc>
        <w:tc>
          <w:tcPr>
            <w:tcW w:w="9018" w:type="dxa"/>
          </w:tcPr>
          <w:p w14:paraId="357E419E">
            <w:pPr>
              <w:spacing w:line="560" w:lineRule="exact"/>
              <w:jc w:val="left"/>
              <w:rPr>
                <w:rFonts w:ascii="仿宋_GB2312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</w:t>
            </w:r>
            <w:r>
              <w:rPr>
                <w:rFonts w:ascii="仿宋_GB2312" w:hAnsi="Times New Roman" w:eastAsia="仿宋_GB2312" w:cs="Times New Roman"/>
                <w:sz w:val="32"/>
                <w:szCs w:val="32"/>
              </w:rPr>
              <w:t>.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2025年北京高等教育“本科教学改革创新项目”申请汇总表</w:t>
            </w:r>
          </w:p>
        </w:tc>
      </w:tr>
    </w:tbl>
    <w:p w14:paraId="2EB3F9DD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747C3307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</w:p>
    <w:p w14:paraId="6858F69D"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289F6">
    <w:pPr>
      <w:pStyle w:val="5"/>
      <w:rPr>
        <w:rFonts w:ascii="宋体" w:hAnsi="宋体" w:eastAsia="宋体" w:cs="Times New Roman"/>
        <w:sz w:val="28"/>
        <w:szCs w:val="28"/>
      </w:rPr>
    </w:pPr>
    <w:r>
      <w:rPr>
        <w:rFonts w:hint="eastAsia" w:ascii="宋体" w:hAnsi="宋体" w:eastAsia="宋体" w:cs="Times New Roman"/>
        <w:sz w:val="28"/>
        <w:szCs w:val="28"/>
      </w:rPr>
      <w:t>-</w:t>
    </w:r>
    <w:sdt>
      <w:sdtPr>
        <w:rPr>
          <w:rFonts w:ascii="宋体" w:hAnsi="宋体" w:eastAsia="宋体" w:cs="Times New Roman"/>
          <w:sz w:val="28"/>
          <w:szCs w:val="28"/>
        </w:rPr>
        <w:id w:val="-2023848245"/>
      </w:sdtPr>
      <w:sdtEndPr>
        <w:rPr>
          <w:rFonts w:ascii="宋体" w:hAnsi="宋体" w:eastAsia="宋体" w:cs="Times New Roman"/>
          <w:sz w:val="28"/>
          <w:szCs w:val="28"/>
        </w:rPr>
      </w:sdtEndPr>
      <w:sdtContent>
        <w:r>
          <w:rPr>
            <w:rFonts w:ascii="宋体" w:hAnsi="宋体" w:eastAsia="宋体" w:cs="Times New Roman"/>
            <w:sz w:val="28"/>
            <w:szCs w:val="28"/>
          </w:rPr>
          <w:fldChar w:fldCharType="begin"/>
        </w:r>
        <w:r>
          <w:rPr>
            <w:rFonts w:ascii="宋体" w:hAnsi="宋体" w:eastAsia="宋体" w:cs="Times New Roman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 w:cs="Times New Roman"/>
            <w:sz w:val="28"/>
            <w:szCs w:val="28"/>
          </w:rPr>
          <w:fldChar w:fldCharType="separate"/>
        </w:r>
        <w:r>
          <w:rPr>
            <w:rFonts w:ascii="宋体" w:hAnsi="宋体" w:eastAsia="宋体" w:cs="Times New Roman"/>
            <w:sz w:val="28"/>
            <w:szCs w:val="28"/>
          </w:rPr>
          <w:t>3</w:t>
        </w:r>
        <w:r>
          <w:rPr>
            <w:rFonts w:ascii="宋体" w:hAnsi="宋体" w:eastAsia="宋体" w:cs="Times New Roman"/>
            <w:sz w:val="28"/>
            <w:szCs w:val="28"/>
          </w:rPr>
          <w:fldChar w:fldCharType="end"/>
        </w:r>
        <w:r>
          <w:rPr>
            <w:rFonts w:hint="eastAsia" w:ascii="宋体" w:hAnsi="宋体" w:eastAsia="宋体" w:cs="Times New Roman"/>
            <w:sz w:val="28"/>
            <w:szCs w:val="28"/>
          </w:rPr>
          <w:t>-</w:t>
        </w:r>
      </w:sdtContent>
    </w:sdt>
  </w:p>
  <w:p w14:paraId="73E08E78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MjUwNjk1NmVmOTI4YzQ0NTI2NjU4OTc1ZTY0ZGUifQ=="/>
  </w:docVars>
  <w:rsids>
    <w:rsidRoot w:val="417F0B66"/>
    <w:rsid w:val="00105B4B"/>
    <w:rsid w:val="001B4329"/>
    <w:rsid w:val="001F1CEC"/>
    <w:rsid w:val="00244FBB"/>
    <w:rsid w:val="00271F4E"/>
    <w:rsid w:val="002C20DF"/>
    <w:rsid w:val="00320177"/>
    <w:rsid w:val="003A68F0"/>
    <w:rsid w:val="003D6BEC"/>
    <w:rsid w:val="00407DD6"/>
    <w:rsid w:val="00467CFA"/>
    <w:rsid w:val="004D681F"/>
    <w:rsid w:val="004E7AD1"/>
    <w:rsid w:val="004F5B83"/>
    <w:rsid w:val="004F5F79"/>
    <w:rsid w:val="005550EE"/>
    <w:rsid w:val="00567A97"/>
    <w:rsid w:val="005D29E4"/>
    <w:rsid w:val="005E535B"/>
    <w:rsid w:val="00622AC3"/>
    <w:rsid w:val="00643276"/>
    <w:rsid w:val="00646471"/>
    <w:rsid w:val="00660B37"/>
    <w:rsid w:val="0066467A"/>
    <w:rsid w:val="00695C27"/>
    <w:rsid w:val="006F05ED"/>
    <w:rsid w:val="00712A53"/>
    <w:rsid w:val="00723103"/>
    <w:rsid w:val="00781D05"/>
    <w:rsid w:val="00791B7B"/>
    <w:rsid w:val="007C7AF5"/>
    <w:rsid w:val="00812987"/>
    <w:rsid w:val="008341DD"/>
    <w:rsid w:val="008414A9"/>
    <w:rsid w:val="00865934"/>
    <w:rsid w:val="0087315F"/>
    <w:rsid w:val="008D43D3"/>
    <w:rsid w:val="008F5D97"/>
    <w:rsid w:val="00937992"/>
    <w:rsid w:val="0097362E"/>
    <w:rsid w:val="009A3A69"/>
    <w:rsid w:val="009F01AE"/>
    <w:rsid w:val="00A20F32"/>
    <w:rsid w:val="00AF0B61"/>
    <w:rsid w:val="00B16794"/>
    <w:rsid w:val="00B20CC7"/>
    <w:rsid w:val="00BA0F3C"/>
    <w:rsid w:val="00BA1403"/>
    <w:rsid w:val="00BC1BE6"/>
    <w:rsid w:val="00BC31AF"/>
    <w:rsid w:val="00C868C2"/>
    <w:rsid w:val="00CA4E16"/>
    <w:rsid w:val="00CB1609"/>
    <w:rsid w:val="00CD35DE"/>
    <w:rsid w:val="00D03395"/>
    <w:rsid w:val="00D56898"/>
    <w:rsid w:val="00D8079D"/>
    <w:rsid w:val="00D87EAF"/>
    <w:rsid w:val="00DD5F1F"/>
    <w:rsid w:val="00DF3B16"/>
    <w:rsid w:val="00E25704"/>
    <w:rsid w:val="00E373ED"/>
    <w:rsid w:val="00E84EB8"/>
    <w:rsid w:val="00E960E0"/>
    <w:rsid w:val="00EB01A8"/>
    <w:rsid w:val="00EC3C0B"/>
    <w:rsid w:val="00ED2A97"/>
    <w:rsid w:val="00F0455C"/>
    <w:rsid w:val="00F97379"/>
    <w:rsid w:val="00FB3165"/>
    <w:rsid w:val="02E82E76"/>
    <w:rsid w:val="08232993"/>
    <w:rsid w:val="090328EA"/>
    <w:rsid w:val="0AE80629"/>
    <w:rsid w:val="18265EC8"/>
    <w:rsid w:val="2B885700"/>
    <w:rsid w:val="2C283BE6"/>
    <w:rsid w:val="376C6B80"/>
    <w:rsid w:val="3ACC045B"/>
    <w:rsid w:val="417F0B66"/>
    <w:rsid w:val="5046166B"/>
    <w:rsid w:val="52221612"/>
    <w:rsid w:val="523F77F3"/>
    <w:rsid w:val="52416CD1"/>
    <w:rsid w:val="5DD4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1222</Words>
  <Characters>1289</Characters>
  <Lines>7</Lines>
  <Paragraphs>2</Paragraphs>
  <TotalTime>148</TotalTime>
  <ScaleCrop>false</ScaleCrop>
  <LinksUpToDate>false</LinksUpToDate>
  <CharactersWithSpaces>1383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2022-04-25T04:09:00Z</dcterms:created>
  <dc:creator>Administrator</dc:creator>
  <cp:lastModifiedBy>钱程</cp:lastModifiedBy>
  <cp:lastPrinted>2023-04-24T07:21:00Z</cp:lastPrinted>
  <dcterms:modified xsi:type="dcterms:W3CDTF">2025-11-11T03:15:55Z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32959B590A7B4100BA4823F6C4958CFA</vt:lpwstr>
  </property>
  <property fmtid="{D5CDD505-2E9C-101B-9397-08002B2CF9AE}" pid="4" name="KSOTemplateDocerSaveRecord">
    <vt:lpwstr>eyJoZGlkIjoiNzAxZTNhZmMxNjAzYjk5YzVjZGIzMTY2ZGI0ZTE2ZDEiLCJ1c2VySWQiOiI1OTUzNTA4MTQifQ==</vt:lpwstr>
  </property>
</Properties>
</file>