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EDDD8">
      <w:pPr>
        <w:pStyle w:val="9"/>
        <w:tabs>
          <w:tab w:val="left" w:pos="1380"/>
        </w:tabs>
        <w:spacing w:before="0" w:beforeAutospacing="0" w:after="0" w:afterAutospacing="0" w:line="360" w:lineRule="auto"/>
        <w:jc w:val="center"/>
        <w:rPr>
          <w:rFonts w:ascii="Times New Roman" w:hAnsi="Times New Roman"/>
          <w:b/>
          <w:color w:val="0F0000"/>
          <w:sz w:val="36"/>
          <w:szCs w:val="36"/>
        </w:rPr>
      </w:pPr>
      <w:r>
        <w:rPr>
          <w:rFonts w:ascii="Times New Roman" w:hAnsi="Times New Roman"/>
          <w:b/>
          <w:color w:val="0F0000"/>
          <w:sz w:val="36"/>
          <w:szCs w:val="36"/>
        </w:rPr>
        <w:t>投资学专业本科人才培养方案</w:t>
      </w:r>
    </w:p>
    <w:p w14:paraId="28880CEF">
      <w:pPr>
        <w:pStyle w:val="9"/>
        <w:tabs>
          <w:tab w:val="left" w:pos="1380"/>
        </w:tabs>
        <w:spacing w:before="0" w:beforeAutospacing="0" w:after="0" w:afterAutospacing="0" w:line="360" w:lineRule="auto"/>
        <w:jc w:val="center"/>
        <w:rPr>
          <w:rFonts w:ascii="Times New Roman" w:hAnsi="Times New Roman"/>
          <w:b/>
          <w:color w:val="0F0000"/>
          <w:sz w:val="28"/>
          <w:szCs w:val="28"/>
        </w:rPr>
      </w:pPr>
      <w:r>
        <w:rPr>
          <w:rFonts w:ascii="Times New Roman" w:hAnsi="Times New Roman"/>
          <w:b/>
          <w:color w:val="0F0000"/>
          <w:sz w:val="28"/>
          <w:szCs w:val="28"/>
        </w:rPr>
        <w:t>（专业代码</w:t>
      </w:r>
      <w:r>
        <w:rPr>
          <w:rFonts w:hint="eastAsia" w:ascii="Times New Roman" w:hAnsi="Times New Roman"/>
          <w:b/>
          <w:color w:val="0F0000"/>
          <w:sz w:val="28"/>
          <w:szCs w:val="28"/>
        </w:rPr>
        <w:t>：</w:t>
      </w:r>
      <w:r>
        <w:rPr>
          <w:rFonts w:ascii="Times New Roman" w:hAnsi="Times New Roman"/>
          <w:b/>
          <w:color w:val="0F0000"/>
          <w:sz w:val="28"/>
          <w:szCs w:val="28"/>
        </w:rPr>
        <w:t>020304）</w:t>
      </w:r>
    </w:p>
    <w:p w14:paraId="06BC4AB7">
      <w:pPr>
        <w:pStyle w:val="9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 w:hAnsi="Times New Roman"/>
          <w:b/>
          <w:color w:val="0F0000"/>
        </w:rPr>
      </w:pPr>
      <w:r>
        <w:rPr>
          <w:rFonts w:ascii="Times New Roman" w:hAnsi="Times New Roman"/>
          <w:b/>
          <w:color w:val="0F0000"/>
        </w:rPr>
        <w:t>一、培养目标</w:t>
      </w:r>
    </w:p>
    <w:p w14:paraId="69D28180">
      <w:pPr>
        <w:pStyle w:val="4"/>
        <w:rPr>
          <w:rFonts w:hint="eastAsia"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>本专业培养具备正确的社会主义核心价值观，能够规范使用语言文字并具备较强的语言应用能力的学生。培养方向注重业务素养和科研能力的结合，具备广阔的国际视野和解决复杂金融投资问题的综合能力。毕业生能够在银行、证券、保险等金融机构、政府部门及企事业单位从事专业工作，胜任各种金融岗位要求。在大数据与人工智能技术快速发展的时代背景下，学生将具备前沿量化投资与金融知识的跨领域应用能力，成为既具备实践操作能力，又具备创新思维的复合型金融人才。</w:t>
      </w:r>
    </w:p>
    <w:p w14:paraId="3203A5C1">
      <w:pPr>
        <w:pStyle w:val="9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 w:hAnsi="Times New Roman"/>
          <w:b/>
          <w:color w:val="0F0000"/>
        </w:rPr>
      </w:pPr>
      <w:r>
        <w:rPr>
          <w:rFonts w:ascii="Times New Roman" w:hAnsi="Times New Roman"/>
          <w:b/>
          <w:color w:val="0F0000"/>
        </w:rPr>
        <w:t>二、毕业要求</w:t>
      </w:r>
    </w:p>
    <w:p w14:paraId="1F4285A0">
      <w:pPr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．掌握马克思主义、毛泽东思想和中国特色社会主义理论体系；具有良好的思想品德、社会公德、职业道德和个人修养；具有爱岗敬业、遵纪守法和团结合作的品质；具有为国家富强、民族昌盛而奋斗的志向和责任感。</w:t>
      </w:r>
    </w:p>
    <w:p w14:paraId="6336EED6">
      <w:pPr>
        <w:pStyle w:val="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2．掌握投资学的基础知识和专业基础理论，熟悉金融学、计算机科学（偏人工智能方向）、经济学等学科原理与方法，了解投资与金融领域的有关方针、政策和法规以及国内外本学科的理论前沿和发展动态。</w:t>
      </w:r>
    </w:p>
    <w:p w14:paraId="16ADFC82">
      <w:pPr>
        <w:pStyle w:val="4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3．能够应用投资学的基本原理、方法对本专业领域及相关领域问题进行分析、管理和研究，并能在实际工作中提出相应对策和建议，形成解决方案。能够熟练使用Python、Matlab以及R等计算机编程语言从事量化投资相关业务工作。</w:t>
      </w:r>
    </w:p>
    <w:p w14:paraId="0182DDD9">
      <w:pPr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4．具有宽广的国际视野，熟悉国际惯例。能够参加诸如CFA（国际注册金融分析师）、FRM（金融风险管理师）等高水平国外行业资格考试；至少掌握一门外语，在听、说、读、写、译五个方面均达到较高的水平。</w:t>
      </w:r>
    </w:p>
    <w:p w14:paraId="16A278A6">
      <w:pPr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5.</w:t>
      </w:r>
      <w:bookmarkStart w:id="0" w:name="OLE_LINK2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具有良好的</w:t>
      </w:r>
      <w:r>
        <w:rPr>
          <w:rFonts w:eastAsiaTheme="minorEastAsia"/>
          <w:b w:val="0"/>
          <w:bCs w:val="0"/>
          <w:sz w:val="24"/>
        </w:rPr>
        <w:t>身心健康与团队协作</w:t>
      </w:r>
      <w:r>
        <w:rPr>
          <w:rFonts w:hint="eastAsia"/>
          <w:b w:val="0"/>
          <w:bCs w:val="0"/>
          <w:sz w:val="24"/>
          <w:lang w:val="en-US" w:eastAsia="zh-CN"/>
        </w:rPr>
        <w:t>能力</w:t>
      </w:r>
      <w:r>
        <w:rPr>
          <w:rFonts w:hint="eastAsia"/>
          <w:b w:val="0"/>
          <w:bCs w:val="0"/>
          <w:sz w:val="24"/>
          <w:lang w:eastAsia="zh-CN"/>
        </w:rPr>
        <w:t>，</w:t>
      </w:r>
      <w:r>
        <w:rPr>
          <w:rFonts w:eastAsiaTheme="minorEastAsia"/>
          <w:sz w:val="24"/>
        </w:rPr>
        <w:t>通过体育课程及实践活动保持强健体魄，具备抗压能力与团队领导力，能够在高强度金融工作中保持高效协作</w:t>
      </w:r>
      <w:r>
        <w:rPr>
          <w:rFonts w:hint="eastAsia" w:eastAsiaTheme="minorEastAsia"/>
          <w:sz w:val="24"/>
          <w:lang w:eastAsia="zh-CN"/>
        </w:rPr>
        <w:t>，</w:t>
      </w:r>
      <w:r>
        <w:rPr>
          <w:rFonts w:hint="eastAsia" w:eastAsiaTheme="minorEastAsia"/>
          <w:sz w:val="24"/>
        </w:rPr>
        <w:t>通过学生体质健康测试是毕业条件之一</w:t>
      </w:r>
      <w:r>
        <w:rPr>
          <w:rFonts w:eastAsiaTheme="minorEastAsia"/>
          <w:sz w:val="24"/>
        </w:rPr>
        <w:t>。</w:t>
      </w:r>
      <w:bookmarkEnd w:id="0"/>
    </w:p>
    <w:p w14:paraId="53D759F4">
      <w:pPr>
        <w:pStyle w:val="9"/>
        <w:tabs>
          <w:tab w:val="left" w:pos="851"/>
        </w:tabs>
        <w:spacing w:before="0" w:beforeAutospacing="0" w:after="0" w:afterAutospacing="0" w:line="360" w:lineRule="auto"/>
        <w:ind w:left="632"/>
        <w:jc w:val="both"/>
        <w:outlineLvl w:val="0"/>
        <w:rPr>
          <w:rFonts w:ascii="Times New Roman" w:hAnsi="Times New Roman"/>
          <w:b/>
          <w:color w:val="0F0000"/>
        </w:rPr>
      </w:pPr>
      <w:r>
        <w:rPr>
          <w:rFonts w:ascii="Times New Roman" w:hAnsi="Times New Roman"/>
          <w:b/>
          <w:color w:val="0F0000"/>
        </w:rPr>
        <w:t>三、培养特色</w:t>
      </w:r>
    </w:p>
    <w:p w14:paraId="68CCA5B0">
      <w:pPr>
        <w:pStyle w:val="4"/>
        <w:ind w:firstLine="482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2"/>
        </w:rPr>
        <w:t>1．夯实金融基础，凸显</w:t>
      </w:r>
      <w:r>
        <w:rPr>
          <w:rFonts w:ascii="Times New Roman" w:hAnsi="Times New Roman"/>
          <w:b/>
        </w:rPr>
        <w:t>量化投资</w:t>
      </w:r>
      <w:r>
        <w:rPr>
          <w:rFonts w:ascii="Times New Roman" w:hAnsi="Times New Roman"/>
          <w:b/>
          <w:szCs w:val="22"/>
        </w:rPr>
        <w:t>思维。</w:t>
      </w:r>
      <w:r>
        <w:rPr>
          <w:rFonts w:hint="eastAsia" w:ascii="Times New Roman" w:hAnsi="Times New Roman"/>
        </w:rPr>
        <w:t>本专业致力于培养能够在大数据与人工智能时代下，全面掌握传统金融投资理论与业务技能，并能灵活应用前沿量化投资知识的复合型金融人才。课程设置上，秉承“宽口径”人才培养理念，注重基础课程的扎实构建，强化学生在投资与金融领域的理论根基。同时，重点培养学生的量化金融知识体系与逻辑思维能力，通过系统化的教学和实践，帮助学生将前沿的量化投资与传统金融理论有机融合，最终为金融行业输送高素质、具备应用能力和创新能力的复合型金融专业人才。</w:t>
      </w:r>
    </w:p>
    <w:p w14:paraId="34E3AB5F">
      <w:pPr>
        <w:spacing w:line="360" w:lineRule="auto"/>
        <w:ind w:firstLine="482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2．注重实践能力，强调专业技能。</w:t>
      </w:r>
      <w:r>
        <w:rPr>
          <w:rFonts w:hint="eastAsia" w:ascii="Times New Roman" w:hAnsi="Times New Roman" w:cs="Times New Roman"/>
          <w:sz w:val="24"/>
        </w:rPr>
        <w:t>本专业强调实践能力的培养，采用案例教学、计算机编程模拟、风险管理情景分析等教学方式，让学生在真实场景中运用所学知识。同时，结合金融机构实习、多媒体教学等多样化手段，不断提升学生的实际操作和分析能力。通过参与国内外金融竞赛，学生能够锻炼综合运用知识的能力，并激发科研兴趣。课程设计紧密结合国内外高水平行业资格考试的要求，帮助学生提升在国际深造和国内就业中的竞争力</w:t>
      </w:r>
      <w:r>
        <w:rPr>
          <w:rFonts w:ascii="Times New Roman" w:hAnsi="Times New Roman" w:cs="Times New Roman"/>
          <w:sz w:val="24"/>
        </w:rPr>
        <w:t>。</w:t>
      </w:r>
    </w:p>
    <w:p w14:paraId="459ED947">
      <w:pPr>
        <w:spacing w:line="360" w:lineRule="auto"/>
        <w:ind w:firstLine="482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3．践行开放办学理念，鼓励学生国际学习合作交流。</w:t>
      </w:r>
      <w:r>
        <w:rPr>
          <w:rFonts w:hint="eastAsia" w:ascii="Times New Roman" w:hAnsi="Times New Roman" w:cs="Times New Roman"/>
          <w:sz w:val="24"/>
        </w:rPr>
        <w:t>本专业倡导开放办学理念，积极推动国际合作与交流。通过与国内外知名高校、国际组织及行业单位的合作，提供丰富的国际化学习平台。学生不仅可以参与国际交流项目，还能获得国际化视野，深化对全球金融市场的理解和应对复杂金融问题的能力，进而在未来的职业生涯中占据优势</w:t>
      </w:r>
      <w:r>
        <w:rPr>
          <w:rFonts w:ascii="Times New Roman" w:hAnsi="Times New Roman" w:cs="Times New Roman"/>
          <w:sz w:val="24"/>
        </w:rPr>
        <w:t>。</w:t>
      </w:r>
    </w:p>
    <w:p w14:paraId="62DA905D">
      <w:pPr>
        <w:pStyle w:val="9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 w:hAnsi="Times New Roman"/>
          <w:b/>
          <w:color w:val="0F0000"/>
        </w:rPr>
      </w:pPr>
      <w:r>
        <w:rPr>
          <w:rFonts w:ascii="Times New Roman" w:hAnsi="Times New Roman"/>
          <w:b/>
          <w:color w:val="0F0000"/>
        </w:rPr>
        <w:t>四、核心课程</w:t>
      </w:r>
    </w:p>
    <w:p w14:paraId="76156CB7">
      <w:pPr>
        <w:pStyle w:val="4"/>
        <w:rPr>
          <w:rFonts w:ascii="Times New Roman" w:hAnsi="Times New Roman"/>
          <w:szCs w:val="24"/>
        </w:rPr>
      </w:pPr>
      <w:r>
        <w:rPr>
          <w:rFonts w:hint="eastAsia" w:ascii="Times New Roman" w:hAnsi="Times New Roman"/>
          <w:szCs w:val="24"/>
        </w:rPr>
        <w:t>金融学科导论、政治经济学、微观经济学、金融学、宏观经济学、商业银行经营管理、公司金融（双语）、投资学、国际金融学（双语）、金融衍生工具（双语）、会计学、统计学、金融计量学、固定收益证券（双语）、保险学</w:t>
      </w:r>
      <w:r>
        <w:rPr>
          <w:rFonts w:ascii="Times New Roman" w:hAnsi="Times New Roman"/>
          <w:szCs w:val="24"/>
        </w:rPr>
        <w:t>。</w:t>
      </w:r>
    </w:p>
    <w:p w14:paraId="5E93E45B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43CD5F1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94D3F7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符合学士学位授予条件者，授予经济学学士学位</w:t>
      </w:r>
      <w:r>
        <w:rPr>
          <w:rFonts w:eastAsiaTheme="minorEastAsia"/>
          <w:sz w:val="24"/>
        </w:rPr>
        <w:t>。</w:t>
      </w:r>
    </w:p>
    <w:p w14:paraId="0B9F1ED6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  <w:lang w:val="en-US" w:eastAsia="zh-CN"/>
        </w:rPr>
        <w:t>142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p w14:paraId="79D3A3F8">
      <w:pPr>
        <w:adjustRightInd w:val="0"/>
        <w:snapToGrid w:val="0"/>
        <w:spacing w:line="480" w:lineRule="exact"/>
        <w:ind w:firstLine="480" w:firstLineChars="200"/>
        <w:rPr>
          <w:rFonts w:hint="eastAsia"/>
          <w:sz w:val="24"/>
        </w:rPr>
      </w:pPr>
    </w:p>
    <w:tbl>
      <w:tblPr>
        <w:tblStyle w:val="11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4243C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6DA0DD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909FD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03E3F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C872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5B902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F26D03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88A19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8030DD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0004D24">
            <w:pPr>
              <w:jc w:val="center"/>
              <w:rPr>
                <w:rFonts w:hint="eastAsia"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52</w:t>
            </w:r>
          </w:p>
        </w:tc>
      </w:tr>
      <w:tr w14:paraId="253E7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DF9F87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37B9C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C2CECD7"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-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DBA4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14:paraId="21B9C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4C997B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6E44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5D48EF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</w:rPr>
              <w:t>1</w:t>
            </w:r>
            <w:r>
              <w:rPr>
                <w:rFonts w:hint="eastAsia"/>
                <w:sz w:val="24"/>
                <w:lang w:val="en-US" w:eastAsia="zh-CN"/>
              </w:rPr>
              <w:t>0</w:t>
            </w:r>
            <w:bookmarkStart w:id="1" w:name="_GoBack"/>
            <w:bookmarkEnd w:id="1"/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5EF2840">
            <w:pPr>
              <w:jc w:val="center"/>
              <w:rPr>
                <w:rFonts w:hint="eastAsia"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27</w:t>
            </w:r>
          </w:p>
        </w:tc>
      </w:tr>
      <w:tr w14:paraId="6CA87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AB098C"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BD344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254541"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-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ADADA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26</w:t>
            </w:r>
          </w:p>
        </w:tc>
      </w:tr>
      <w:tr w14:paraId="35C6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BD562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84346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9</w:t>
            </w: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9118B9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27</w:t>
            </w:r>
          </w:p>
        </w:tc>
      </w:tr>
      <w:tr w14:paraId="15973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29CD9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9F85B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2B2C4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044CD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49917D">
            <w:pPr>
              <w:jc w:val="center"/>
              <w:rPr>
                <w:rFonts w:hint="eastAsia"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1AF372"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 w:eastAsiaTheme="minorEastAsia"/>
                <w:sz w:val="24"/>
                <w:lang w:val="en-US" w:eastAsia="zh-CN"/>
              </w:rPr>
              <w:t>142</w:t>
            </w:r>
          </w:p>
        </w:tc>
      </w:tr>
    </w:tbl>
    <w:p w14:paraId="4800E832">
      <w:pPr>
        <w:pStyle w:val="9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 w:hAnsi="Times New Roman"/>
          <w:b/>
          <w:color w:val="0F0000"/>
        </w:rPr>
      </w:pPr>
    </w:p>
    <w:p w14:paraId="17205949">
      <w:pPr>
        <w:pStyle w:val="9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outlineLvl w:val="0"/>
        <w:rPr>
          <w:rFonts w:ascii="Times New Roman" w:hAnsi="Times New Roman"/>
          <w:b/>
          <w:color w:val="0F0000"/>
        </w:rPr>
      </w:pPr>
      <w:r>
        <w:rPr>
          <w:rFonts w:ascii="Times New Roman" w:hAnsi="Times New Roman"/>
          <w:b/>
          <w:color w:val="0F0000"/>
        </w:rPr>
        <w:t>六、总学分一览表</w:t>
      </w:r>
    </w:p>
    <w:p w14:paraId="664DF517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highlight w:val="none"/>
        </w:rPr>
      </w:pPr>
      <w:r>
        <w:rPr>
          <w:rFonts w:ascii="Times New Roman" w:hAnsi="Times New Roman" w:cs="Times New Roman"/>
          <w:b/>
          <w:color w:val="000000"/>
          <w:sz w:val="24"/>
          <w:highlight w:val="none"/>
        </w:rPr>
        <w:t>总学分一览表</w:t>
      </w:r>
    </w:p>
    <w:tbl>
      <w:tblPr>
        <w:tblStyle w:val="11"/>
        <w:tblW w:w="860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1559"/>
        <w:gridCol w:w="690"/>
        <w:gridCol w:w="1546"/>
        <w:gridCol w:w="883"/>
        <w:gridCol w:w="1134"/>
        <w:gridCol w:w="1864"/>
      </w:tblGrid>
      <w:tr w14:paraId="27C9B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4478BE2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2"/>
                <w:highlight w:val="none"/>
              </w:rPr>
              <w:t>总学分</w:t>
            </w:r>
          </w:p>
        </w:tc>
        <w:tc>
          <w:tcPr>
            <w:tcW w:w="4678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587FF66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2"/>
                <w:highlight w:val="none"/>
              </w:rPr>
              <w:t>教学方式</w:t>
            </w:r>
          </w:p>
        </w:tc>
        <w:tc>
          <w:tcPr>
            <w:tcW w:w="299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66D4F2C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highlight w:val="none"/>
              </w:rPr>
              <w:t>理论与实践教学比例（</w:t>
            </w:r>
            <w:r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  <w:t>%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highlight w:val="none"/>
              </w:rPr>
              <w:t>）</w:t>
            </w:r>
          </w:p>
        </w:tc>
      </w:tr>
      <w:tr w14:paraId="13D0E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E72E2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142</w:t>
            </w:r>
          </w:p>
        </w:tc>
        <w:tc>
          <w:tcPr>
            <w:tcW w:w="155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376191B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课堂教学环节</w:t>
            </w:r>
          </w:p>
        </w:tc>
        <w:tc>
          <w:tcPr>
            <w:tcW w:w="69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0AA1863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115</w:t>
            </w: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0CA0A8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理论教学</w:t>
            </w:r>
          </w:p>
        </w:tc>
        <w:tc>
          <w:tcPr>
            <w:tcW w:w="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4FDB554">
            <w:pPr>
              <w:widowControl/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0"/>
                <w:szCs w:val="21"/>
                <w:highlight w:val="none"/>
                <w:lang w:eastAsia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10</w:t>
            </w:r>
            <w:r>
              <w:rPr>
                <w:rFonts w:hint="eastAsia" w:ascii="Times New Roman" w:hAnsi="Times New Roman" w:cs="Times New Roman"/>
                <w:kern w:val="0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9580ED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理论教学</w:t>
            </w:r>
          </w:p>
        </w:tc>
        <w:tc>
          <w:tcPr>
            <w:tcW w:w="18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35EB1E2B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7</w:t>
            </w:r>
            <w:r>
              <w:rPr>
                <w:rFonts w:hint="eastAsia" w:ascii="Times New Roman" w:hAnsi="Times New Roman" w:cs="Times New Roman"/>
                <w:kern w:val="0"/>
                <w:szCs w:val="21"/>
                <w:highlight w:val="none"/>
                <w:lang w:val="en-US" w:eastAsia="zh-CN"/>
              </w:rPr>
              <w:t>6.1</w:t>
            </w:r>
          </w:p>
        </w:tc>
      </w:tr>
      <w:tr w14:paraId="4D073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3E0109B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7FB3EF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877DA8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2FAD0F9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实验教学</w:t>
            </w:r>
          </w:p>
        </w:tc>
        <w:tc>
          <w:tcPr>
            <w:tcW w:w="8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787EE216">
            <w:pPr>
              <w:widowControl/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44A8885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实践教学</w:t>
            </w:r>
          </w:p>
        </w:tc>
        <w:tc>
          <w:tcPr>
            <w:tcW w:w="1864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61790501">
            <w:pPr>
              <w:widowControl/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2</w:t>
            </w:r>
            <w:r>
              <w:rPr>
                <w:rFonts w:hint="eastAsia" w:ascii="Times New Roman" w:hAnsi="Times New Roman" w:cs="Times New Roman"/>
                <w:kern w:val="0"/>
                <w:szCs w:val="21"/>
                <w:highlight w:val="none"/>
                <w:lang w:val="en-US" w:eastAsia="zh-CN"/>
              </w:rPr>
              <w:t>3.9</w:t>
            </w:r>
          </w:p>
        </w:tc>
      </w:tr>
      <w:tr w14:paraId="1E3891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9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0C84939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06FBC70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课外教学环节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43182123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27</w:t>
            </w:r>
          </w:p>
        </w:tc>
        <w:tc>
          <w:tcPr>
            <w:tcW w:w="1546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18444E5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实习、军训等</w:t>
            </w:r>
          </w:p>
        </w:tc>
        <w:tc>
          <w:tcPr>
            <w:tcW w:w="88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551450F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cs="Times New Roman"/>
                <w:kern w:val="0"/>
                <w:szCs w:val="21"/>
                <w:highlight w:val="none"/>
              </w:rPr>
              <w:t>27</w:t>
            </w:r>
          </w:p>
        </w:tc>
        <w:tc>
          <w:tcPr>
            <w:tcW w:w="1134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7F1AB31E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</w:p>
        </w:tc>
        <w:tc>
          <w:tcPr>
            <w:tcW w:w="1864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4C901A2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kern w:val="0"/>
                <w:szCs w:val="21"/>
                <w:highlight w:val="none"/>
              </w:rPr>
            </w:pPr>
          </w:p>
        </w:tc>
      </w:tr>
    </w:tbl>
    <w:p w14:paraId="36F88D80">
      <w:pPr>
        <w:spacing w:line="360" w:lineRule="auto"/>
        <w:rPr>
          <w:rFonts w:ascii="Times New Roman" w:hAnsi="Times New Roman" w:cs="Times New Roman"/>
          <w:b/>
          <w:sz w:val="24"/>
          <w:highlight w:val="none"/>
        </w:rPr>
      </w:pPr>
    </w:p>
    <w:p w14:paraId="6480D992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4"/>
          <w:highlight w:val="none"/>
        </w:rPr>
      </w:pPr>
      <w:r>
        <w:rPr>
          <w:rFonts w:ascii="Times New Roman" w:hAnsi="Times New Roman" w:cs="Times New Roman"/>
          <w:b/>
          <w:color w:val="000000"/>
          <w:sz w:val="24"/>
          <w:highlight w:val="none"/>
        </w:rPr>
        <w:t>课堂教学学时分配表</w:t>
      </w:r>
    </w:p>
    <w:tbl>
      <w:tblPr>
        <w:tblStyle w:val="11"/>
        <w:tblW w:w="0" w:type="auto"/>
        <w:tblInd w:w="0" w:type="dxa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905"/>
        <w:gridCol w:w="1561"/>
        <w:gridCol w:w="1720"/>
        <w:gridCol w:w="858"/>
        <w:gridCol w:w="858"/>
        <w:gridCol w:w="1716"/>
      </w:tblGrid>
      <w:tr w14:paraId="05B04FA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809" w:type="dxa"/>
            <w:gridSpan w:val="2"/>
            <w:vAlign w:val="center"/>
          </w:tcPr>
          <w:p w14:paraId="2ECBE78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  <w:t>课程类别</w:t>
            </w:r>
          </w:p>
        </w:tc>
        <w:tc>
          <w:tcPr>
            <w:tcW w:w="1561" w:type="dxa"/>
            <w:vAlign w:val="center"/>
          </w:tcPr>
          <w:p w14:paraId="484DF3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  <w:t>门数</w:t>
            </w:r>
          </w:p>
        </w:tc>
        <w:tc>
          <w:tcPr>
            <w:tcW w:w="1720" w:type="dxa"/>
            <w:vAlign w:val="center"/>
          </w:tcPr>
          <w:p w14:paraId="336CD82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  <w:t>总学时</w:t>
            </w:r>
          </w:p>
        </w:tc>
        <w:tc>
          <w:tcPr>
            <w:tcW w:w="1716" w:type="dxa"/>
            <w:gridSpan w:val="2"/>
            <w:vAlign w:val="center"/>
          </w:tcPr>
          <w:p w14:paraId="39032B8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  <w:t>总学分</w:t>
            </w:r>
          </w:p>
        </w:tc>
        <w:tc>
          <w:tcPr>
            <w:tcW w:w="1716" w:type="dxa"/>
            <w:vAlign w:val="center"/>
          </w:tcPr>
          <w:p w14:paraId="418D8FF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highlight w:val="none"/>
              </w:rPr>
              <w:t>比例（%）</w:t>
            </w:r>
          </w:p>
        </w:tc>
      </w:tr>
      <w:tr w14:paraId="49A284F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809" w:type="dxa"/>
            <w:gridSpan w:val="2"/>
            <w:vAlign w:val="center"/>
          </w:tcPr>
          <w:p w14:paraId="7B7B493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通识教育必修课</w:t>
            </w:r>
          </w:p>
        </w:tc>
        <w:tc>
          <w:tcPr>
            <w:tcW w:w="1561" w:type="dxa"/>
            <w:vAlign w:val="center"/>
          </w:tcPr>
          <w:p w14:paraId="702B98DF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26</w:t>
            </w:r>
          </w:p>
        </w:tc>
        <w:tc>
          <w:tcPr>
            <w:tcW w:w="1720" w:type="dxa"/>
            <w:vAlign w:val="center"/>
          </w:tcPr>
          <w:p w14:paraId="2003976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868</w:t>
            </w:r>
          </w:p>
        </w:tc>
        <w:tc>
          <w:tcPr>
            <w:tcW w:w="1716" w:type="dxa"/>
            <w:gridSpan w:val="2"/>
            <w:vAlign w:val="center"/>
          </w:tcPr>
          <w:p w14:paraId="60F93A0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52</w:t>
            </w:r>
          </w:p>
        </w:tc>
        <w:tc>
          <w:tcPr>
            <w:tcW w:w="1716" w:type="dxa"/>
            <w:vAlign w:val="center"/>
          </w:tcPr>
          <w:p w14:paraId="132B3BB6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highlight w:val="none"/>
                <w:lang w:bidi="ar"/>
              </w:rPr>
              <w:t>4</w:t>
            </w:r>
            <w:r>
              <w:rPr>
                <w:rFonts w:ascii="等线" w:hAnsi="等线" w:eastAsia="等线" w:cs="等线"/>
                <w:color w:val="000000"/>
                <w:kern w:val="0"/>
                <w:sz w:val="22"/>
                <w:highlight w:val="none"/>
                <w:lang w:bidi="ar"/>
              </w:rPr>
              <w:t>5.22</w:t>
            </w:r>
          </w:p>
        </w:tc>
      </w:tr>
      <w:tr w14:paraId="2DCC8AE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809" w:type="dxa"/>
            <w:gridSpan w:val="2"/>
            <w:vAlign w:val="center"/>
          </w:tcPr>
          <w:p w14:paraId="7249FAC7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通识教育选修课</w:t>
            </w:r>
          </w:p>
        </w:tc>
        <w:tc>
          <w:tcPr>
            <w:tcW w:w="1561" w:type="dxa"/>
            <w:vAlign w:val="center"/>
          </w:tcPr>
          <w:p w14:paraId="0468B8C3"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1720" w:type="dxa"/>
            <w:vAlign w:val="center"/>
          </w:tcPr>
          <w:p w14:paraId="60F8AD11"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highlight w:val="none"/>
                <w:lang w:val="en-US" w:eastAsia="zh-CN"/>
              </w:rPr>
              <w:t>-</w:t>
            </w:r>
          </w:p>
        </w:tc>
        <w:tc>
          <w:tcPr>
            <w:tcW w:w="1716" w:type="dxa"/>
            <w:gridSpan w:val="2"/>
            <w:vAlign w:val="center"/>
          </w:tcPr>
          <w:p w14:paraId="19B4AF9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10</w:t>
            </w:r>
          </w:p>
        </w:tc>
        <w:tc>
          <w:tcPr>
            <w:tcW w:w="1716" w:type="dxa"/>
            <w:vAlign w:val="center"/>
          </w:tcPr>
          <w:p w14:paraId="4FB4A740">
            <w:pPr>
              <w:widowControl/>
              <w:jc w:val="center"/>
              <w:textAlignment w:val="bottom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等线" w:hAnsi="等线" w:eastAsia="等线" w:cs="等线"/>
                <w:color w:val="000000"/>
                <w:kern w:val="0"/>
                <w:sz w:val="22"/>
                <w:highlight w:val="none"/>
                <w:lang w:bidi="ar"/>
              </w:rPr>
              <w:t>8.69</w:t>
            </w:r>
          </w:p>
        </w:tc>
      </w:tr>
      <w:tr w14:paraId="4D62210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904" w:type="dxa"/>
            <w:vMerge w:val="restart"/>
            <w:vAlign w:val="center"/>
          </w:tcPr>
          <w:p w14:paraId="46CA00A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  <w:p w14:paraId="065DDEC6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个性教育</w:t>
            </w:r>
          </w:p>
        </w:tc>
        <w:tc>
          <w:tcPr>
            <w:tcW w:w="905" w:type="dxa"/>
            <w:vAlign w:val="center"/>
          </w:tcPr>
          <w:p w14:paraId="111C844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专业必修课</w:t>
            </w:r>
          </w:p>
        </w:tc>
        <w:tc>
          <w:tcPr>
            <w:tcW w:w="1561" w:type="dxa"/>
            <w:vAlign w:val="center"/>
          </w:tcPr>
          <w:p w14:paraId="5393A9DB">
            <w:pPr>
              <w:adjustRightInd w:val="0"/>
              <w:snapToGrid w:val="0"/>
              <w:spacing w:line="400" w:lineRule="exact"/>
              <w:jc w:val="center"/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0</w:t>
            </w:r>
          </w:p>
        </w:tc>
        <w:tc>
          <w:tcPr>
            <w:tcW w:w="1720" w:type="dxa"/>
            <w:vAlign w:val="center"/>
          </w:tcPr>
          <w:p w14:paraId="39A5EC5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4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32</w:t>
            </w:r>
          </w:p>
        </w:tc>
        <w:tc>
          <w:tcPr>
            <w:tcW w:w="858" w:type="dxa"/>
            <w:vAlign w:val="center"/>
          </w:tcPr>
          <w:p w14:paraId="37ED543B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宋体" w:hAnsi="宋体"/>
                <w:szCs w:val="21"/>
                <w:highlight w:val="none"/>
              </w:rPr>
              <w:t>27</w:t>
            </w:r>
          </w:p>
        </w:tc>
        <w:tc>
          <w:tcPr>
            <w:tcW w:w="858" w:type="dxa"/>
            <w:vMerge w:val="restart"/>
            <w:vAlign w:val="center"/>
          </w:tcPr>
          <w:p w14:paraId="2E706C9D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53</w:t>
            </w:r>
          </w:p>
        </w:tc>
        <w:tc>
          <w:tcPr>
            <w:tcW w:w="1716" w:type="dxa"/>
            <w:vMerge w:val="restart"/>
            <w:vAlign w:val="center"/>
          </w:tcPr>
          <w:p w14:paraId="1CE8AFF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46.09</w:t>
            </w:r>
          </w:p>
        </w:tc>
      </w:tr>
      <w:tr w14:paraId="7A6BE9A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04" w:type="dxa"/>
            <w:vMerge w:val="continue"/>
            <w:vAlign w:val="center"/>
          </w:tcPr>
          <w:p w14:paraId="4828DB2E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</w:p>
        </w:tc>
        <w:tc>
          <w:tcPr>
            <w:tcW w:w="905" w:type="dxa"/>
            <w:vAlign w:val="center"/>
          </w:tcPr>
          <w:p w14:paraId="2C12E7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专业选修课</w:t>
            </w:r>
          </w:p>
        </w:tc>
        <w:tc>
          <w:tcPr>
            <w:tcW w:w="1561" w:type="dxa"/>
            <w:vAlign w:val="center"/>
          </w:tcPr>
          <w:p w14:paraId="5F7A8B0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-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-</w:t>
            </w:r>
          </w:p>
        </w:tc>
        <w:tc>
          <w:tcPr>
            <w:tcW w:w="1720" w:type="dxa"/>
            <w:vAlign w:val="center"/>
          </w:tcPr>
          <w:p w14:paraId="24A4D8B4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highlight w:val="none"/>
              </w:rPr>
              <w:t>4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16</w:t>
            </w:r>
          </w:p>
        </w:tc>
        <w:tc>
          <w:tcPr>
            <w:tcW w:w="858" w:type="dxa"/>
            <w:vAlign w:val="center"/>
          </w:tcPr>
          <w:p w14:paraId="390241B2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szCs w:val="21"/>
                <w:highlight w:val="none"/>
              </w:rPr>
              <w:t>2</w:t>
            </w:r>
            <w:r>
              <w:rPr>
                <w:rFonts w:ascii="Times New Roman" w:hAnsi="Times New Roman"/>
                <w:szCs w:val="21"/>
                <w:highlight w:val="none"/>
              </w:rPr>
              <w:t>6</w:t>
            </w:r>
          </w:p>
        </w:tc>
        <w:tc>
          <w:tcPr>
            <w:tcW w:w="858" w:type="dxa"/>
            <w:vMerge w:val="continue"/>
            <w:vAlign w:val="center"/>
          </w:tcPr>
          <w:p w14:paraId="39F7CD49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</w:p>
        </w:tc>
        <w:tc>
          <w:tcPr>
            <w:tcW w:w="1716" w:type="dxa"/>
            <w:vMerge w:val="continue"/>
            <w:vAlign w:val="center"/>
          </w:tcPr>
          <w:p w14:paraId="6DB8178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</w:p>
        </w:tc>
      </w:tr>
      <w:tr w14:paraId="53DD374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809" w:type="dxa"/>
            <w:gridSpan w:val="2"/>
            <w:vAlign w:val="center"/>
          </w:tcPr>
          <w:p w14:paraId="26085F35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合计</w:t>
            </w:r>
          </w:p>
        </w:tc>
        <w:tc>
          <w:tcPr>
            <w:tcW w:w="1561" w:type="dxa"/>
            <w:vAlign w:val="center"/>
          </w:tcPr>
          <w:p w14:paraId="5C32F1C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</w:p>
        </w:tc>
        <w:tc>
          <w:tcPr>
            <w:tcW w:w="1720" w:type="dxa"/>
            <w:vAlign w:val="center"/>
          </w:tcPr>
          <w:p w14:paraId="4CDF943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</w:p>
        </w:tc>
        <w:tc>
          <w:tcPr>
            <w:tcW w:w="1716" w:type="dxa"/>
            <w:gridSpan w:val="2"/>
            <w:vAlign w:val="center"/>
          </w:tcPr>
          <w:p w14:paraId="72BF5C8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115</w:t>
            </w:r>
          </w:p>
        </w:tc>
        <w:tc>
          <w:tcPr>
            <w:tcW w:w="1716" w:type="dxa"/>
            <w:vAlign w:val="center"/>
          </w:tcPr>
          <w:p w14:paraId="649CCEF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fldChar w:fldCharType="begin"/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instrText xml:space="preserve"> =SUM(ABOVE) </w:instrTex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fldChar w:fldCharType="separate"/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t>100</w:t>
            </w:r>
            <w:r>
              <w:rPr>
                <w:rFonts w:ascii="Times New Roman" w:hAnsi="Times New Roman" w:eastAsia="宋体" w:cs="Times New Roman"/>
                <w:szCs w:val="21"/>
                <w:highlight w:val="none"/>
              </w:rPr>
              <w:fldChar w:fldCharType="end"/>
            </w:r>
          </w:p>
        </w:tc>
      </w:tr>
    </w:tbl>
    <w:p w14:paraId="305E4E71">
      <w:pPr>
        <w:pStyle w:val="20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hint="eastAsia"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1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027"/>
        <w:gridCol w:w="1413"/>
        <w:gridCol w:w="1254"/>
      </w:tblGrid>
      <w:tr w14:paraId="77B6F70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450287F7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color="auto" w:sz="4" w:space="0"/>
            </w:tcBorders>
          </w:tcPr>
          <w:p w14:paraId="69EC59C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color="auto" w:sz="4" w:space="0"/>
            </w:tcBorders>
          </w:tcPr>
          <w:p w14:paraId="55084C0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color="auto" w:sz="4" w:space="0"/>
            </w:tcBorders>
          </w:tcPr>
          <w:p w14:paraId="393D1DC2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40C3E6F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78F6EB7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color="auto" w:sz="4" w:space="0"/>
            </w:tcBorders>
          </w:tcPr>
          <w:p w14:paraId="25512C2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color="auto" w:sz="4" w:space="0"/>
            </w:tcBorders>
          </w:tcPr>
          <w:p w14:paraId="09B811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color="auto" w:sz="4" w:space="0"/>
            </w:tcBorders>
          </w:tcPr>
          <w:p w14:paraId="702BA6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643F2C0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4DA41E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A39187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413" w:type="dxa"/>
            <w:vAlign w:val="center"/>
          </w:tcPr>
          <w:p w14:paraId="1933A7CA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4" w:type="dxa"/>
          </w:tcPr>
          <w:p w14:paraId="065D96E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0E4A5A7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AB18BD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766F19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14:paraId="04743CBA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54" w:type="dxa"/>
          </w:tcPr>
          <w:p w14:paraId="1B358C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55CD40A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74D9050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0F9AE0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35C44165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6F35BDC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0F425D9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27A6E4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FB6F41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5A7F426C">
            <w:pPr>
              <w:adjustRightInd w:val="0"/>
              <w:snapToGrid w:val="0"/>
              <w:spacing w:line="360" w:lineRule="exact"/>
              <w:jc w:val="center"/>
              <w:rPr>
                <w:szCs w:val="21"/>
                <w:highlight w:val="none"/>
              </w:rPr>
            </w:pPr>
            <w:r>
              <w:rPr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4" w:type="dxa"/>
          </w:tcPr>
          <w:p w14:paraId="092C76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558D5C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43BAC6A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027" w:type="dxa"/>
          </w:tcPr>
          <w:p w14:paraId="5294C85E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583E0B5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7199A06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4192800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2F0C33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1F3372B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2DCA08A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6EAB5DC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089A965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C7B23C4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5702D30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75885EFA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3A7E215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7541DFA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29D817C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75249145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人工智能导论</w:t>
            </w:r>
          </w:p>
        </w:tc>
        <w:tc>
          <w:tcPr>
            <w:tcW w:w="1413" w:type="dxa"/>
          </w:tcPr>
          <w:p w14:paraId="56D3C00D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</w:tcPr>
          <w:p w14:paraId="5302EC60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0.5</w:t>
            </w:r>
          </w:p>
        </w:tc>
      </w:tr>
      <w:tr w14:paraId="38DF95E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241DE77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0A2B0FB5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大学生心理健康社会实践</w:t>
            </w:r>
          </w:p>
        </w:tc>
        <w:tc>
          <w:tcPr>
            <w:tcW w:w="1413" w:type="dxa"/>
          </w:tcPr>
          <w:p w14:paraId="2FDB60EC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</w:tcPr>
          <w:p w14:paraId="74047008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0FE16A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EED8E6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8265B22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76D07D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73FBED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2F13DFB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8A0E59A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4C2252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52135A9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622AF73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4F878D0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9CEF4E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78484F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59766F5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A92364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649D104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E08FEC4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70DD656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696D03E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31D68EA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B8902C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070F678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269C71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59C5248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3570BDC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7353CF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845940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0D7079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一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796741DA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254" w:type="dxa"/>
            <w:vAlign w:val="center"/>
          </w:tcPr>
          <w:p w14:paraId="658C8040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  <w:lang w:val="en-US" w:eastAsia="zh-CN"/>
              </w:rPr>
              <w:t>25</w:t>
            </w:r>
          </w:p>
        </w:tc>
      </w:tr>
      <w:tr w14:paraId="6F87A55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5EAF1AD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879F9F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7457EB8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254" w:type="dxa"/>
            <w:vAlign w:val="center"/>
          </w:tcPr>
          <w:p w14:paraId="14A154F7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0.25</w:t>
            </w:r>
          </w:p>
        </w:tc>
      </w:tr>
      <w:tr w14:paraId="00C0951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41C08B5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6303F491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  <w:vAlign w:val="center"/>
          </w:tcPr>
          <w:p w14:paraId="11E1604E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  <w:vAlign w:val="center"/>
          </w:tcPr>
          <w:p w14:paraId="375A3663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0.25</w:t>
            </w:r>
          </w:p>
        </w:tc>
      </w:tr>
      <w:tr w14:paraId="28CA45C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5FC3393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6E726F6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  <w:tc>
          <w:tcPr>
            <w:tcW w:w="1413" w:type="dxa"/>
          </w:tcPr>
          <w:p w14:paraId="7EA965CC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5616D95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5</w:t>
            </w:r>
          </w:p>
        </w:tc>
      </w:tr>
      <w:tr w14:paraId="6ECEEC0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</w:tcPr>
          <w:p w14:paraId="4499E51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  <w:p w14:paraId="1CEF6B95">
            <w:pPr>
              <w:bidi w:val="0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 w14:paraId="0BD8CF2A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专业实验类</w:t>
            </w:r>
          </w:p>
        </w:tc>
        <w:tc>
          <w:tcPr>
            <w:tcW w:w="3027" w:type="dxa"/>
          </w:tcPr>
          <w:p w14:paraId="6CF2979E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金融计算机语言（双语）</w:t>
            </w:r>
          </w:p>
        </w:tc>
        <w:tc>
          <w:tcPr>
            <w:tcW w:w="1413" w:type="dxa"/>
          </w:tcPr>
          <w:p w14:paraId="7A201CF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254" w:type="dxa"/>
          </w:tcPr>
          <w:p w14:paraId="4491A896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594D3D2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A3340AB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028BF42C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金融机器学习（双语）</w:t>
            </w:r>
          </w:p>
        </w:tc>
        <w:tc>
          <w:tcPr>
            <w:tcW w:w="1413" w:type="dxa"/>
          </w:tcPr>
          <w:p w14:paraId="0BB59AE4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</w:p>
        </w:tc>
        <w:tc>
          <w:tcPr>
            <w:tcW w:w="1254" w:type="dxa"/>
          </w:tcPr>
          <w:p w14:paraId="10389473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6D7175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0A5ABAF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B7708BE"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金融计量学</w:t>
            </w:r>
          </w:p>
        </w:tc>
        <w:tc>
          <w:tcPr>
            <w:tcW w:w="1413" w:type="dxa"/>
          </w:tcPr>
          <w:p w14:paraId="1BD8BD6B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1BA86A2E"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077144E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3192DCC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1CEBCC2D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金融建模</w:t>
            </w:r>
          </w:p>
        </w:tc>
        <w:tc>
          <w:tcPr>
            <w:tcW w:w="1413" w:type="dxa"/>
          </w:tcPr>
          <w:p w14:paraId="306952A3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254" w:type="dxa"/>
          </w:tcPr>
          <w:p w14:paraId="30BD5692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0E174DF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17FD793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3D562ABA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互联网金融理论与实务</w:t>
            </w:r>
          </w:p>
        </w:tc>
        <w:tc>
          <w:tcPr>
            <w:tcW w:w="1413" w:type="dxa"/>
          </w:tcPr>
          <w:p w14:paraId="2088BED6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</w:p>
        </w:tc>
        <w:tc>
          <w:tcPr>
            <w:tcW w:w="1254" w:type="dxa"/>
          </w:tcPr>
          <w:p w14:paraId="0943699D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2EC7B4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526CFAB7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2A432921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金融交易技术</w:t>
            </w:r>
          </w:p>
        </w:tc>
        <w:tc>
          <w:tcPr>
            <w:tcW w:w="1413" w:type="dxa"/>
          </w:tcPr>
          <w:p w14:paraId="2B992EFF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2E24D520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7D06496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1994789">
            <w:pPr>
              <w:adjustRightInd w:val="0"/>
              <w:snapToGrid w:val="0"/>
              <w:spacing w:line="360" w:lineRule="exact"/>
              <w:rPr>
                <w:rFonts w:hint="eastAsia" w:ascii="宋体" w:hAnsi="宋体"/>
                <w:szCs w:val="21"/>
              </w:rPr>
            </w:pPr>
          </w:p>
        </w:tc>
        <w:tc>
          <w:tcPr>
            <w:tcW w:w="3027" w:type="dxa"/>
          </w:tcPr>
          <w:p w14:paraId="4FABB849">
            <w:pPr>
              <w:adjustRightInd w:val="0"/>
              <w:snapToGrid w:val="0"/>
              <w:spacing w:line="360" w:lineRule="exac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国际金融市场（英语）</w:t>
            </w:r>
          </w:p>
        </w:tc>
        <w:tc>
          <w:tcPr>
            <w:tcW w:w="1413" w:type="dxa"/>
          </w:tcPr>
          <w:p w14:paraId="08B2B043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1254" w:type="dxa"/>
          </w:tcPr>
          <w:p w14:paraId="56A75F81">
            <w:pPr>
              <w:adjustRightInd w:val="0"/>
              <w:snapToGrid w:val="0"/>
              <w:spacing w:line="360" w:lineRule="exact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</w:tr>
      <w:tr w14:paraId="0BB6FE1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408" w:type="dxa"/>
            <w:gridSpan w:val="2"/>
          </w:tcPr>
          <w:p w14:paraId="3640861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2324B137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17122ABF"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34.5</w:t>
            </w:r>
          </w:p>
        </w:tc>
      </w:tr>
    </w:tbl>
    <w:p w14:paraId="744284FD">
      <w:pPr>
        <w:spacing w:line="0" w:lineRule="atLeast"/>
        <w:rPr>
          <w:rFonts w:ascii="Times New Roman" w:hAnsi="Times New Roman" w:eastAsia="仿宋" w:cs="Times New Roman"/>
          <w:szCs w:val="21"/>
        </w:rPr>
      </w:pPr>
    </w:p>
    <w:p w14:paraId="76E3434B">
      <w:pPr>
        <w:spacing w:line="0" w:lineRule="atLeast"/>
        <w:rPr>
          <w:rFonts w:ascii="Times New Roman" w:hAnsi="Times New Roman" w:eastAsia="仿宋" w:cs="Times New Roman"/>
          <w:szCs w:val="21"/>
        </w:rPr>
      </w:pPr>
    </w:p>
    <w:p w14:paraId="53041FC1">
      <w:pPr>
        <w:pStyle w:val="20"/>
        <w:widowControl/>
        <w:spacing w:before="312" w:beforeLines="100" w:line="360" w:lineRule="auto"/>
        <w:ind w:left="420" w:firstLine="0" w:firstLineChars="0"/>
        <w:jc w:val="left"/>
        <w:rPr>
          <w:b/>
          <w:bCs/>
          <w:kern w:val="0"/>
          <w:sz w:val="24"/>
          <w:szCs w:val="32"/>
        </w:rPr>
      </w:pPr>
      <w:r>
        <w:rPr>
          <w:b/>
          <w:bCs/>
          <w:kern w:val="0"/>
          <w:sz w:val="24"/>
          <w:szCs w:val="32"/>
        </w:rPr>
        <w:t>七、本科学分制指导性教学计划表</w:t>
      </w:r>
    </w:p>
    <w:p w14:paraId="2003BA2A"/>
    <w:sectPr>
      <w:footerReference r:id="rId3" w:type="default"/>
      <w:pgSz w:w="11906" w:h="16838"/>
      <w:pgMar w:top="2098" w:right="1588" w:bottom="1985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1053D">
    <w:pPr>
      <w:pStyle w:val="6"/>
      <w:tabs>
        <w:tab w:val="right" w:pos="8222"/>
        <w:tab w:val="clear" w:pos="8306"/>
      </w:tabs>
      <w:ind w:right="231" w:rightChars="11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47BEE56B">
    <w:pPr>
      <w:pStyle w:val="6"/>
      <w:tabs>
        <w:tab w:val="right" w:pos="8222"/>
        <w:tab w:val="clear" w:pos="8306"/>
      </w:tabs>
      <w:ind w:right="231" w:rightChars="110"/>
      <w:rPr>
        <w:rFonts w:ascii="宋体" w:hAnsi="宋体"/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2ZjJhZTc0NDQyYzNiMmY0N2I1ZWU1Mzc3ODY1ODIifQ=="/>
  </w:docVars>
  <w:rsids>
    <w:rsidRoot w:val="005B41A6"/>
    <w:rsid w:val="00001FDC"/>
    <w:rsid w:val="00012EFF"/>
    <w:rsid w:val="000210B0"/>
    <w:rsid w:val="00023A27"/>
    <w:rsid w:val="000248C7"/>
    <w:rsid w:val="000373AB"/>
    <w:rsid w:val="000416D0"/>
    <w:rsid w:val="00041D53"/>
    <w:rsid w:val="00041DC3"/>
    <w:rsid w:val="00047989"/>
    <w:rsid w:val="0005087B"/>
    <w:rsid w:val="0005158C"/>
    <w:rsid w:val="00057581"/>
    <w:rsid w:val="00061824"/>
    <w:rsid w:val="00072B8A"/>
    <w:rsid w:val="00074D68"/>
    <w:rsid w:val="00082D4F"/>
    <w:rsid w:val="000A5165"/>
    <w:rsid w:val="000F32F1"/>
    <w:rsid w:val="000F62B0"/>
    <w:rsid w:val="001336F3"/>
    <w:rsid w:val="00134D95"/>
    <w:rsid w:val="001364F9"/>
    <w:rsid w:val="0014091C"/>
    <w:rsid w:val="00144B6E"/>
    <w:rsid w:val="001503EB"/>
    <w:rsid w:val="0016063D"/>
    <w:rsid w:val="00162481"/>
    <w:rsid w:val="00167A1A"/>
    <w:rsid w:val="00171BC4"/>
    <w:rsid w:val="00177E1A"/>
    <w:rsid w:val="0018297F"/>
    <w:rsid w:val="0018654E"/>
    <w:rsid w:val="001B1E51"/>
    <w:rsid w:val="001C1559"/>
    <w:rsid w:val="001C4309"/>
    <w:rsid w:val="001D1CBE"/>
    <w:rsid w:val="001E5A83"/>
    <w:rsid w:val="001F0C3A"/>
    <w:rsid w:val="002153FA"/>
    <w:rsid w:val="00227A42"/>
    <w:rsid w:val="00240320"/>
    <w:rsid w:val="00243ECE"/>
    <w:rsid w:val="00251BB3"/>
    <w:rsid w:val="00276E4D"/>
    <w:rsid w:val="002825B2"/>
    <w:rsid w:val="00283DEE"/>
    <w:rsid w:val="00290083"/>
    <w:rsid w:val="00292C6E"/>
    <w:rsid w:val="002B0866"/>
    <w:rsid w:val="002B2DEF"/>
    <w:rsid w:val="002E1E7A"/>
    <w:rsid w:val="002E7116"/>
    <w:rsid w:val="00306C4D"/>
    <w:rsid w:val="00312FC8"/>
    <w:rsid w:val="0032153A"/>
    <w:rsid w:val="0034210A"/>
    <w:rsid w:val="0034450F"/>
    <w:rsid w:val="00345031"/>
    <w:rsid w:val="003643B3"/>
    <w:rsid w:val="00374FEA"/>
    <w:rsid w:val="003820FC"/>
    <w:rsid w:val="00385FF6"/>
    <w:rsid w:val="00391667"/>
    <w:rsid w:val="003E69A9"/>
    <w:rsid w:val="004157AA"/>
    <w:rsid w:val="00425255"/>
    <w:rsid w:val="00427A82"/>
    <w:rsid w:val="00457DA6"/>
    <w:rsid w:val="0046630B"/>
    <w:rsid w:val="00472092"/>
    <w:rsid w:val="004773C2"/>
    <w:rsid w:val="00484B8E"/>
    <w:rsid w:val="004A0D2A"/>
    <w:rsid w:val="004A1736"/>
    <w:rsid w:val="004B03C2"/>
    <w:rsid w:val="004C5ED5"/>
    <w:rsid w:val="004D26D9"/>
    <w:rsid w:val="004F54F8"/>
    <w:rsid w:val="00502E6B"/>
    <w:rsid w:val="00514246"/>
    <w:rsid w:val="005179A6"/>
    <w:rsid w:val="00530C1E"/>
    <w:rsid w:val="005456CE"/>
    <w:rsid w:val="00563C82"/>
    <w:rsid w:val="0057061B"/>
    <w:rsid w:val="00576AC3"/>
    <w:rsid w:val="005777CB"/>
    <w:rsid w:val="005A34BB"/>
    <w:rsid w:val="005B1D0A"/>
    <w:rsid w:val="005B390F"/>
    <w:rsid w:val="005B41A6"/>
    <w:rsid w:val="005C657B"/>
    <w:rsid w:val="005D4C39"/>
    <w:rsid w:val="00605419"/>
    <w:rsid w:val="00626A27"/>
    <w:rsid w:val="00634DF1"/>
    <w:rsid w:val="00636A4B"/>
    <w:rsid w:val="00655993"/>
    <w:rsid w:val="006644A4"/>
    <w:rsid w:val="006B01FC"/>
    <w:rsid w:val="006B101F"/>
    <w:rsid w:val="006B6E40"/>
    <w:rsid w:val="006B7FEE"/>
    <w:rsid w:val="006C0827"/>
    <w:rsid w:val="006D1786"/>
    <w:rsid w:val="007015BC"/>
    <w:rsid w:val="00731273"/>
    <w:rsid w:val="007364F6"/>
    <w:rsid w:val="00737539"/>
    <w:rsid w:val="0074134B"/>
    <w:rsid w:val="0076591D"/>
    <w:rsid w:val="00773F71"/>
    <w:rsid w:val="0078099E"/>
    <w:rsid w:val="00787731"/>
    <w:rsid w:val="0079353B"/>
    <w:rsid w:val="00797B82"/>
    <w:rsid w:val="007A1C2F"/>
    <w:rsid w:val="007D15BB"/>
    <w:rsid w:val="007D590E"/>
    <w:rsid w:val="007D7F25"/>
    <w:rsid w:val="007E0227"/>
    <w:rsid w:val="007E13A2"/>
    <w:rsid w:val="007F464F"/>
    <w:rsid w:val="00800957"/>
    <w:rsid w:val="008017D6"/>
    <w:rsid w:val="008256E5"/>
    <w:rsid w:val="00856DA1"/>
    <w:rsid w:val="00860209"/>
    <w:rsid w:val="008848CC"/>
    <w:rsid w:val="00892D18"/>
    <w:rsid w:val="00893E7F"/>
    <w:rsid w:val="00894565"/>
    <w:rsid w:val="008A26C6"/>
    <w:rsid w:val="008B17E5"/>
    <w:rsid w:val="008B1EDE"/>
    <w:rsid w:val="008B2746"/>
    <w:rsid w:val="008D4020"/>
    <w:rsid w:val="008D601C"/>
    <w:rsid w:val="008E3FA0"/>
    <w:rsid w:val="008E555A"/>
    <w:rsid w:val="008E662F"/>
    <w:rsid w:val="008E6F53"/>
    <w:rsid w:val="008F32C8"/>
    <w:rsid w:val="0090245E"/>
    <w:rsid w:val="00906913"/>
    <w:rsid w:val="00912781"/>
    <w:rsid w:val="00920848"/>
    <w:rsid w:val="00923DA3"/>
    <w:rsid w:val="00931FCD"/>
    <w:rsid w:val="0093472F"/>
    <w:rsid w:val="00935A02"/>
    <w:rsid w:val="00962622"/>
    <w:rsid w:val="009675DA"/>
    <w:rsid w:val="00970711"/>
    <w:rsid w:val="009A43D9"/>
    <w:rsid w:val="009B22EC"/>
    <w:rsid w:val="009C2445"/>
    <w:rsid w:val="009E3DC8"/>
    <w:rsid w:val="00A0180E"/>
    <w:rsid w:val="00A01DD8"/>
    <w:rsid w:val="00A20669"/>
    <w:rsid w:val="00A27B2B"/>
    <w:rsid w:val="00A35E95"/>
    <w:rsid w:val="00A40F2B"/>
    <w:rsid w:val="00A83C73"/>
    <w:rsid w:val="00A857B5"/>
    <w:rsid w:val="00A969D4"/>
    <w:rsid w:val="00AA3EDC"/>
    <w:rsid w:val="00AA71D5"/>
    <w:rsid w:val="00AC6D42"/>
    <w:rsid w:val="00AD43C2"/>
    <w:rsid w:val="00B1616D"/>
    <w:rsid w:val="00B3501D"/>
    <w:rsid w:val="00B421EB"/>
    <w:rsid w:val="00B53899"/>
    <w:rsid w:val="00B55854"/>
    <w:rsid w:val="00B65F88"/>
    <w:rsid w:val="00B729ED"/>
    <w:rsid w:val="00B77DEB"/>
    <w:rsid w:val="00B81818"/>
    <w:rsid w:val="00B92D8E"/>
    <w:rsid w:val="00BA4A26"/>
    <w:rsid w:val="00BC4265"/>
    <w:rsid w:val="00BD31A2"/>
    <w:rsid w:val="00C12C5B"/>
    <w:rsid w:val="00C532C8"/>
    <w:rsid w:val="00C56F5F"/>
    <w:rsid w:val="00C7250D"/>
    <w:rsid w:val="00C82D12"/>
    <w:rsid w:val="00C83630"/>
    <w:rsid w:val="00CD76C6"/>
    <w:rsid w:val="00CF6AB4"/>
    <w:rsid w:val="00D04141"/>
    <w:rsid w:val="00D076ED"/>
    <w:rsid w:val="00D10C63"/>
    <w:rsid w:val="00D17CFE"/>
    <w:rsid w:val="00D25D0B"/>
    <w:rsid w:val="00D333DD"/>
    <w:rsid w:val="00D51687"/>
    <w:rsid w:val="00D65026"/>
    <w:rsid w:val="00D8120C"/>
    <w:rsid w:val="00D923A5"/>
    <w:rsid w:val="00D92FF8"/>
    <w:rsid w:val="00D946CD"/>
    <w:rsid w:val="00DB2A1B"/>
    <w:rsid w:val="00DB3569"/>
    <w:rsid w:val="00DB6125"/>
    <w:rsid w:val="00DF40B4"/>
    <w:rsid w:val="00DF557B"/>
    <w:rsid w:val="00E0392B"/>
    <w:rsid w:val="00E236D3"/>
    <w:rsid w:val="00E355E7"/>
    <w:rsid w:val="00E5168B"/>
    <w:rsid w:val="00E57DC7"/>
    <w:rsid w:val="00E65093"/>
    <w:rsid w:val="00E949F7"/>
    <w:rsid w:val="00E96915"/>
    <w:rsid w:val="00EA3421"/>
    <w:rsid w:val="00EC005E"/>
    <w:rsid w:val="00EC58D9"/>
    <w:rsid w:val="00ED1C43"/>
    <w:rsid w:val="00ED408F"/>
    <w:rsid w:val="00EF056F"/>
    <w:rsid w:val="00F1471D"/>
    <w:rsid w:val="00F37CD6"/>
    <w:rsid w:val="00F44B1D"/>
    <w:rsid w:val="00F50F05"/>
    <w:rsid w:val="00F576A7"/>
    <w:rsid w:val="00F66614"/>
    <w:rsid w:val="00F7024B"/>
    <w:rsid w:val="00F764E9"/>
    <w:rsid w:val="00F76E30"/>
    <w:rsid w:val="00F80183"/>
    <w:rsid w:val="00F9050B"/>
    <w:rsid w:val="00FB46C0"/>
    <w:rsid w:val="07977C8D"/>
    <w:rsid w:val="093C671C"/>
    <w:rsid w:val="10610182"/>
    <w:rsid w:val="18BF28AF"/>
    <w:rsid w:val="22940759"/>
    <w:rsid w:val="2884332A"/>
    <w:rsid w:val="61B1532C"/>
    <w:rsid w:val="676C7477"/>
    <w:rsid w:val="68EB1269"/>
    <w:rsid w:val="6F042F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annotation text"/>
    <w:basedOn w:val="1"/>
    <w:link w:val="23"/>
    <w:semiHidden/>
    <w:unhideWhenUsed/>
    <w:qFormat/>
    <w:uiPriority w:val="99"/>
    <w:pPr>
      <w:jc w:val="left"/>
    </w:pPr>
    <w:rPr>
      <w:rFonts w:ascii="Times New Roman" w:hAnsi="Times New Roman" w:eastAsia="宋体" w:cs="Times New Roman"/>
      <w:szCs w:val="24"/>
    </w:rPr>
  </w:style>
  <w:style w:type="paragraph" w:styleId="4">
    <w:name w:val="Body Text Indent 2"/>
    <w:basedOn w:val="1"/>
    <w:link w:val="17"/>
    <w:qFormat/>
    <w:uiPriority w:val="0"/>
    <w:pPr>
      <w:spacing w:line="360" w:lineRule="auto"/>
      <w:ind w:firstLine="480" w:firstLineChars="200"/>
    </w:pPr>
    <w:rPr>
      <w:rFonts w:ascii="Arial" w:hAnsi="宋体" w:eastAsia="宋体" w:cs="Times New Roman"/>
      <w:kern w:val="0"/>
      <w:sz w:val="24"/>
      <w:szCs w:val="21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22"/>
    <w:semiHidden/>
    <w:unhideWhenUsed/>
    <w:qFormat/>
    <w:uiPriority w:val="99"/>
    <w:rPr>
      <w:rFonts w:ascii="Times New Roman" w:hAnsi="Times New Roman" w:eastAsia="宋体" w:cs="Times New Roman"/>
      <w:sz w:val="20"/>
      <w:szCs w:val="20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paragraph" w:styleId="10">
    <w:name w:val="annotation subject"/>
    <w:basedOn w:val="3"/>
    <w:next w:val="3"/>
    <w:link w:val="24"/>
    <w:semiHidden/>
    <w:unhideWhenUsed/>
    <w:qFormat/>
    <w:uiPriority w:val="99"/>
    <w:rPr>
      <w:rFonts w:asciiTheme="minorHAnsi" w:hAnsiTheme="minorHAnsi" w:eastAsiaTheme="minorEastAsia" w:cstheme="minorBidi"/>
      <w:b/>
      <w:bCs/>
      <w:szCs w:val="22"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styleId="14">
    <w:name w:val="footnote reference"/>
    <w:basedOn w:val="12"/>
    <w:semiHidden/>
    <w:unhideWhenUsed/>
    <w:qFormat/>
    <w:uiPriority w:val="99"/>
    <w:rPr>
      <w:vertAlign w:val="superscript"/>
    </w:rPr>
  </w:style>
  <w:style w:type="character" w:customStyle="1" w:styleId="15">
    <w:name w:val="页眉 字符"/>
    <w:basedOn w:val="12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2"/>
    <w:link w:val="6"/>
    <w:qFormat/>
    <w:uiPriority w:val="99"/>
    <w:rPr>
      <w:sz w:val="18"/>
      <w:szCs w:val="18"/>
    </w:rPr>
  </w:style>
  <w:style w:type="character" w:customStyle="1" w:styleId="17">
    <w:name w:val="正文文本缩进 2 字符"/>
    <w:basedOn w:val="12"/>
    <w:link w:val="4"/>
    <w:qFormat/>
    <w:uiPriority w:val="0"/>
    <w:rPr>
      <w:rFonts w:ascii="Arial" w:hAnsi="宋体" w:eastAsia="宋体" w:cs="Times New Roman"/>
      <w:kern w:val="0"/>
      <w:sz w:val="24"/>
      <w:szCs w:val="21"/>
    </w:rPr>
  </w:style>
  <w:style w:type="character" w:customStyle="1" w:styleId="18">
    <w:name w:val="文档结构图 字符"/>
    <w:basedOn w:val="12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9">
    <w:name w:val="批注框文本 字符"/>
    <w:basedOn w:val="12"/>
    <w:link w:val="5"/>
    <w:semiHidden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21">
    <w:name w:val="a-size-large"/>
    <w:basedOn w:val="12"/>
    <w:qFormat/>
    <w:uiPriority w:val="0"/>
  </w:style>
  <w:style w:type="character" w:customStyle="1" w:styleId="22">
    <w:name w:val="脚注文本 字符"/>
    <w:basedOn w:val="12"/>
    <w:link w:val="8"/>
    <w:semiHidden/>
    <w:qFormat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23">
    <w:name w:val="批注文字 字符"/>
    <w:basedOn w:val="12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4">
    <w:name w:val="批注主题 字符"/>
    <w:basedOn w:val="23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2098</Words>
  <Characters>2189</Characters>
  <Lines>13</Lines>
  <Paragraphs>3</Paragraphs>
  <TotalTime>10</TotalTime>
  <ScaleCrop>false</ScaleCrop>
  <LinksUpToDate>false</LinksUpToDate>
  <CharactersWithSpaces>2189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2021-03-31T14:29:00Z</dcterms:created>
  <dc:creator>User</dc:creator>
  <cp:lastModifiedBy>王婧</cp:lastModifiedBy>
  <cp:lastPrinted>2025-05-13T05:46:00Z</cp:lastPrinted>
  <dcterms:modified xsi:type="dcterms:W3CDTF">2025-12-03T10:03:13Z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B285F6FBB9A9450CAB0DA7B968C6348B</vt:lpwstr>
  </property>
</Properties>
</file>