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0FBDDFA7">
      <w:pPr>
        <w:pStyle w:val="15"/>
        <w:tabs>
          <w:tab w:val="left" w:pos="851"/>
        </w:tabs>
        <w:spacing w:before="0" w:beforeAutospacing="0" w:after="0" w:afterAutospacing="0" w:line="360" w:lineRule="auto"/>
        <w:ind w:firstLine="562" w:firstLineChars="200"/>
        <w:jc w:val="center"/>
        <w:outlineLvl w:val="0"/>
        <w:rPr>
          <w:rFonts w:ascii="Times New Roman"/>
          <w:b/>
          <w:sz w:val="28"/>
          <w:szCs w:val="28"/>
        </w:rPr>
      </w:pPr>
      <w:r>
        <w:rPr>
          <w:rFonts w:hint="eastAsia" w:ascii="Times New Roman"/>
          <w:b/>
          <w:sz w:val="28"/>
          <w:szCs w:val="28"/>
        </w:rPr>
        <w:t>金融学+数据科学与大数据技术 双学位培养方案</w:t>
      </w:r>
    </w:p>
    <w:p w14:paraId="0239D02E"/>
    <w:p w14:paraId="7EF42543">
      <w:pPr>
        <w:pStyle w:val="15"/>
        <w:tabs>
          <w:tab w:val="left" w:pos="851"/>
        </w:tabs>
        <w:spacing w:before="0" w:beforeAutospacing="0" w:after="0" w:afterAutospacing="0" w:line="360" w:lineRule="auto"/>
        <w:ind w:firstLine="482" w:firstLineChars="200"/>
        <w:jc w:val="both"/>
        <w:outlineLvl w:val="0"/>
        <w:rPr>
          <w:rFonts w:ascii="Times New Roman" w:hAnsi="Times New Roman"/>
          <w:b/>
        </w:rPr>
      </w:pPr>
      <w:r>
        <w:rPr>
          <w:rFonts w:ascii="Times New Roman"/>
          <w:b/>
        </w:rPr>
        <w:t>一、培养目标</w:t>
      </w:r>
    </w:p>
    <w:p w14:paraId="77467027">
      <w:pPr>
        <w:pStyle w:val="11"/>
        <w:rPr>
          <w:rFonts w:ascii="Times New Roman"/>
          <w:szCs w:val="24"/>
        </w:rPr>
      </w:pPr>
      <w:r>
        <w:rPr>
          <w:rFonts w:hint="eastAsia" w:ascii="Times New Roman"/>
          <w:szCs w:val="24"/>
        </w:rPr>
        <w:t>“金融学+数据科学与大数据技术”双学位复合型人才培养项目融合双学科优势，着重提升学生人文科技素养、实践创新能力及数据分析能力。旨在培养既精通金融专业知识技能，又深谙数据科学与大数据技术原理与应用的复合型人才。培养学生</w:t>
      </w:r>
      <w:r>
        <w:rPr>
          <w:rFonts w:ascii="Times New Roman"/>
          <w:szCs w:val="24"/>
        </w:rPr>
        <w:t>具有</w:t>
      </w:r>
      <w:r>
        <w:rPr>
          <w:rFonts w:hint="eastAsia" w:ascii="Times New Roman"/>
          <w:szCs w:val="24"/>
        </w:rPr>
        <w:t>深厚的知识储备和合理的知识结构、较高的外语水平和开放包容的国际化视野，具有团队合作意识、社会责任感和创新精神。强化学生综合运用数据分析和解决金融实际问题的能力，培养能够在各类金融机构、工商企业及政府部门中从事金融数据分析、量化策略研究、智能决策支持的创新型、复合型、应用型、国际化的金融精英人才。</w:t>
      </w:r>
    </w:p>
    <w:p w14:paraId="64497FD4">
      <w:pPr>
        <w:pStyle w:val="15"/>
        <w:tabs>
          <w:tab w:val="left" w:pos="851"/>
        </w:tabs>
        <w:spacing w:before="0" w:beforeAutospacing="0" w:after="0" w:afterAutospacing="0" w:line="360" w:lineRule="auto"/>
        <w:ind w:firstLine="482" w:firstLineChars="200"/>
        <w:jc w:val="both"/>
        <w:outlineLvl w:val="0"/>
        <w:rPr>
          <w:rFonts w:ascii="Times New Roman"/>
          <w:b/>
        </w:rPr>
      </w:pPr>
      <w:r>
        <w:rPr>
          <w:rFonts w:ascii="Times New Roman"/>
          <w:b/>
        </w:rPr>
        <w:t>二、</w:t>
      </w:r>
      <w:r>
        <w:rPr>
          <w:rFonts w:hint="eastAsia" w:ascii="Times New Roman"/>
          <w:b/>
        </w:rPr>
        <w:t>毕业要求</w:t>
      </w:r>
    </w:p>
    <w:p w14:paraId="72B9C500">
      <w:pPr>
        <w:pStyle w:val="11"/>
        <w:ind w:firstLine="482"/>
        <w:rPr>
          <w:rFonts w:hint="eastAsia" w:ascii="inherit" w:hAnsi="inherit" w:cs="Segoe UI"/>
          <w:kern w:val="0"/>
          <w:szCs w:val="24"/>
        </w:rPr>
      </w:pPr>
      <w:r>
        <w:rPr>
          <w:rFonts w:hint="eastAsia" w:ascii="inherit" w:hAnsi="inherit" w:cs="Segoe UI"/>
          <w:b/>
          <w:kern w:val="0"/>
          <w:szCs w:val="24"/>
        </w:rPr>
        <w:t>1</w:t>
      </w:r>
      <w:r>
        <w:rPr>
          <w:rFonts w:ascii="inherit" w:hAnsi="inherit" w:cs="Segoe UI"/>
          <w:b/>
          <w:kern w:val="0"/>
          <w:szCs w:val="24"/>
        </w:rPr>
        <w:t>. 掌握马克思主义基本原理和新时代中国特色社会主义思想体系，构建"大思政"育人格局</w:t>
      </w:r>
      <w:r>
        <w:rPr>
          <w:rFonts w:ascii="inherit" w:hAnsi="inherit" w:cs="Segoe UI"/>
          <w:kern w:val="0"/>
          <w:szCs w:val="24"/>
        </w:rPr>
        <w:t>。具有良好的思想品德、社会公德、职业道德和个人修养，在金融科技应用中恪守伦理规范。通过金融机构数字化转型实践和金融科技竞赛，培养爱岗敬业、遵纪守法和团结合作的品质。具备运用大语言模型处理金融数据时的合规意识，在量化投资、智能风控等领域践行科技向善的价值观。</w:t>
      </w:r>
    </w:p>
    <w:p w14:paraId="5BC77ACC">
      <w:pPr>
        <w:pStyle w:val="11"/>
        <w:ind w:firstLine="482"/>
        <w:rPr>
          <w:rFonts w:hint="eastAsia" w:ascii="inherit" w:hAnsi="inherit" w:cs="Segoe UI"/>
          <w:kern w:val="0"/>
          <w:szCs w:val="24"/>
        </w:rPr>
      </w:pPr>
      <w:r>
        <w:rPr>
          <w:rFonts w:hint="eastAsia" w:ascii="inherit" w:hAnsi="inherit" w:cs="Segoe UI"/>
          <w:b/>
          <w:kern w:val="0"/>
          <w:szCs w:val="24"/>
        </w:rPr>
        <w:t>2</w:t>
      </w:r>
      <w:r>
        <w:rPr>
          <w:rFonts w:ascii="inherit" w:hAnsi="inherit" w:cs="Segoe UI"/>
          <w:b/>
          <w:kern w:val="0"/>
          <w:szCs w:val="24"/>
        </w:rPr>
        <w:t>. 注重金融创新人才专业韧性、技术能力、社会价值和个人修养的多维度综合发展。</w:t>
      </w:r>
      <w:r>
        <w:rPr>
          <w:rFonts w:ascii="inherit" w:hAnsi="inherit" w:cs="Segoe UI"/>
          <w:kern w:val="0"/>
          <w:szCs w:val="24"/>
        </w:rPr>
        <w:t>掌握TensorFlow、PyTorch等深度学习框架的开发能力，适应金融科技快速迭代的技术环境。通过Hadoop、Spark等大数据平台实践，培养持续学习和心理调适能力。具备运用Python进行</w:t>
      </w:r>
      <w:r>
        <w:rPr>
          <w:rFonts w:ascii="Times New Roman"/>
          <w:bCs/>
          <w:szCs w:val="24"/>
        </w:rPr>
        <w:t>金融</w:t>
      </w:r>
      <w:r>
        <w:rPr>
          <w:rFonts w:ascii="inherit" w:hAnsi="inherit" w:cs="Segoe UI"/>
          <w:kern w:val="0"/>
          <w:szCs w:val="24"/>
        </w:rPr>
        <w:t>数据清洗、分析与可视化的专业技能，同时保持开放合作的专业协作精神。</w:t>
      </w:r>
    </w:p>
    <w:p w14:paraId="0EBED03C">
      <w:pPr>
        <w:pStyle w:val="11"/>
        <w:ind w:firstLine="482"/>
        <w:rPr>
          <w:rFonts w:hint="eastAsia" w:ascii="inherit" w:hAnsi="inherit" w:cs="Segoe UI"/>
          <w:kern w:val="0"/>
          <w:szCs w:val="24"/>
        </w:rPr>
      </w:pPr>
      <w:r>
        <w:rPr>
          <w:rFonts w:hint="eastAsia" w:ascii="inherit" w:hAnsi="inherit" w:cs="Segoe UI"/>
          <w:b/>
          <w:kern w:val="0"/>
          <w:szCs w:val="24"/>
        </w:rPr>
        <w:t>3</w:t>
      </w:r>
      <w:r>
        <w:rPr>
          <w:rFonts w:ascii="inherit" w:hAnsi="inherit" w:cs="Segoe UI"/>
          <w:b/>
          <w:kern w:val="0"/>
          <w:szCs w:val="24"/>
        </w:rPr>
        <w:t>. 夯实金融学科基础理论和统计学专业知识，拓宽人工智能交叉学科的知识广度。</w:t>
      </w:r>
      <w:r>
        <w:rPr>
          <w:rFonts w:ascii="inherit" w:hAnsi="inherit" w:cs="Segoe UI"/>
          <w:kern w:val="0"/>
          <w:szCs w:val="24"/>
        </w:rPr>
        <w:t>系统掌握金融学、经济学、管理学的基本原理和方法，熟练运用机器学习算法和大数据挖掘技术。建立可扩展的金融科技知识图谱，重点培养数学建模、资产组合优化等关键技术能力。课程设置对接CFA、FRM等职业资格要求，强化数理统计与金融业务的融合应用。</w:t>
      </w:r>
    </w:p>
    <w:p w14:paraId="49474565">
      <w:pPr>
        <w:pStyle w:val="11"/>
        <w:ind w:firstLine="482"/>
        <w:rPr>
          <w:rFonts w:hint="eastAsia" w:ascii="inherit" w:hAnsi="inherit" w:cs="Segoe UI"/>
          <w:kern w:val="0"/>
          <w:szCs w:val="24"/>
        </w:rPr>
      </w:pPr>
      <w:r>
        <w:rPr>
          <w:rFonts w:hint="eastAsia" w:ascii="inherit" w:hAnsi="inherit" w:cs="Segoe UI"/>
          <w:b/>
          <w:kern w:val="0"/>
          <w:szCs w:val="24"/>
        </w:rPr>
        <w:t>4</w:t>
      </w:r>
      <w:r>
        <w:rPr>
          <w:rFonts w:ascii="inherit" w:hAnsi="inherit" w:cs="Segoe UI"/>
          <w:b/>
          <w:kern w:val="0"/>
          <w:szCs w:val="24"/>
        </w:rPr>
        <w:t>. 具备金融经济现象的分析研究能力和科技创新实践能力。</w:t>
      </w:r>
      <w:r>
        <w:rPr>
          <w:rFonts w:ascii="inherit" w:hAnsi="inherit" w:cs="Segoe UI"/>
          <w:kern w:val="0"/>
          <w:szCs w:val="24"/>
        </w:rPr>
        <w:t>通过量化交易模拟系统、智能投顾开发等实战项目，培养基于数据科学的投资决策能力。掌握金融舆情分析、风险预警模型等全流程实施技能，结合区块链金融、绿色金融等创新创业训练提升复杂问题解决能力。了解金融科技前沿动态，重视金融业务操作能力的培养。</w:t>
      </w:r>
    </w:p>
    <w:p w14:paraId="4E3E04FD">
      <w:pPr>
        <w:pStyle w:val="11"/>
        <w:ind w:firstLine="482"/>
        <w:rPr>
          <w:rFonts w:hint="eastAsia" w:ascii="inherit" w:hAnsi="inherit" w:cs="Segoe UI"/>
          <w:kern w:val="0"/>
          <w:szCs w:val="24"/>
        </w:rPr>
      </w:pPr>
      <w:r>
        <w:rPr>
          <w:rFonts w:hint="eastAsia" w:ascii="inherit" w:hAnsi="inherit" w:cs="Segoe UI"/>
          <w:b/>
          <w:kern w:val="0"/>
          <w:szCs w:val="24"/>
        </w:rPr>
        <w:t>5</w:t>
      </w:r>
      <w:r>
        <w:rPr>
          <w:rFonts w:ascii="inherit" w:hAnsi="inherit" w:cs="Segoe UI"/>
          <w:b/>
          <w:kern w:val="0"/>
          <w:szCs w:val="24"/>
        </w:rPr>
        <w:t>. 具备全球化视野下的数据智能素养，熟悉国际金融科技发展惯例。</w:t>
      </w:r>
      <w:r>
        <w:rPr>
          <w:rFonts w:ascii="inherit" w:hAnsi="inherit" w:cs="Segoe UI"/>
          <w:kern w:val="0"/>
          <w:szCs w:val="24"/>
        </w:rPr>
        <w:t>熟练运用大语言模型处理多语言金融文本数据，掌握</w:t>
      </w:r>
      <w:r>
        <w:rPr>
          <w:rFonts w:ascii="Times New Roman"/>
          <w:bCs/>
          <w:szCs w:val="24"/>
        </w:rPr>
        <w:t>Spark</w:t>
      </w:r>
      <w:r>
        <w:rPr>
          <w:rFonts w:ascii="inherit" w:hAnsi="inherit" w:cs="Segoe UI"/>
          <w:kern w:val="0"/>
          <w:szCs w:val="24"/>
        </w:rPr>
        <w:t>等国际通用大数据工具。能够就专业领域问题与国内外同行进行有效沟通，具备跨国团队协作开发金融科技解决方案的能力。在智能风控、数字货币等场景中实现国际经验与本土实践的创新融合。</w:t>
      </w:r>
    </w:p>
    <w:p w14:paraId="3C523AD2">
      <w:pPr>
        <w:pStyle w:val="11"/>
        <w:ind w:firstLine="482"/>
        <w:rPr>
          <w:rFonts w:hint="eastAsia" w:ascii="inherit" w:hAnsi="inherit" w:cs="Segoe UI"/>
          <w:kern w:val="0"/>
          <w:szCs w:val="24"/>
        </w:rPr>
      </w:pPr>
      <w:r>
        <w:rPr>
          <w:rFonts w:hint="eastAsia" w:ascii="inherit" w:hAnsi="inherit" w:cs="Segoe UI"/>
          <w:b/>
          <w:kern w:val="0"/>
          <w:szCs w:val="24"/>
        </w:rPr>
        <w:t>6</w:t>
      </w:r>
      <w:r>
        <w:rPr>
          <w:rFonts w:ascii="inherit" w:hAnsi="inherit" w:cs="Segoe UI"/>
          <w:b/>
          <w:kern w:val="0"/>
          <w:szCs w:val="24"/>
        </w:rPr>
        <w:t>. 具有终身学习和科研创新的能力，适应金融科技领域的快速变革。</w:t>
      </w:r>
      <w:r>
        <w:rPr>
          <w:rFonts w:ascii="inherit" w:hAnsi="inherit" w:cs="Segoe UI"/>
          <w:kern w:val="0"/>
          <w:szCs w:val="24"/>
        </w:rPr>
        <w:t>掌握</w:t>
      </w:r>
      <w:r>
        <w:rPr>
          <w:rFonts w:hint="eastAsia" w:ascii="inherit" w:hAnsi="inherit" w:cs="Segoe UI"/>
          <w:kern w:val="0"/>
          <w:szCs w:val="24"/>
        </w:rPr>
        <w:t>“</w:t>
      </w:r>
      <w:r>
        <w:rPr>
          <w:rFonts w:ascii="inherit" w:hAnsi="inherit" w:cs="Segoe UI"/>
          <w:kern w:val="0"/>
          <w:szCs w:val="24"/>
        </w:rPr>
        <w:t>动态学习+模型共进化</w:t>
      </w:r>
      <w:r>
        <w:rPr>
          <w:rFonts w:hint="eastAsia" w:ascii="inherit" w:hAnsi="inherit" w:cs="Segoe UI"/>
          <w:kern w:val="0"/>
          <w:szCs w:val="24"/>
        </w:rPr>
        <w:t>”</w:t>
      </w:r>
      <w:r>
        <w:rPr>
          <w:rFonts w:ascii="inherit" w:hAnsi="inherit" w:cs="Segoe UI"/>
          <w:kern w:val="0"/>
          <w:szCs w:val="24"/>
        </w:rPr>
        <w:t>的专业发展方法，持续跟踪量化算法、监管科技等前沿趋势。通过金融机构实习、金融科技黑客松等项目，培养技术工具与业务知识的双重迭代能力。注重德智体美劳全面发展，为CFA/FRM等职业认证奠定基础，主动适应大模型驱动的认知革命需求。</w:t>
      </w:r>
    </w:p>
    <w:p w14:paraId="39A76D1F">
      <w:pPr>
        <w:pStyle w:val="11"/>
        <w:ind w:firstLine="482"/>
        <w:rPr>
          <w:rFonts w:hint="eastAsia" w:ascii="inherit" w:hAnsi="inherit" w:cs="Segoe UI"/>
          <w:kern w:val="0"/>
          <w:szCs w:val="24"/>
        </w:rPr>
      </w:pPr>
      <w:r>
        <w:rPr>
          <w:rFonts w:hint="eastAsia" w:ascii="Times New Roman"/>
          <w:b/>
          <w:szCs w:val="24"/>
        </w:rPr>
        <w:t>7. 具有良好的身心健康与团队协作能力。</w:t>
      </w:r>
      <w:r>
        <w:rPr>
          <w:rFonts w:hint="eastAsia" w:ascii="Times New Roman"/>
          <w:bCs/>
          <w:szCs w:val="24"/>
        </w:rPr>
        <w:t>通过体育课程及实践活动保持强健体魄，具备抗压能力与团队领导力，能够在高强度金融工作中保持高效协作，通过学生体质健康测试是毕业条件之一。</w:t>
      </w:r>
    </w:p>
    <w:p w14:paraId="67120824">
      <w:pPr>
        <w:pStyle w:val="15"/>
        <w:tabs>
          <w:tab w:val="left" w:pos="851"/>
        </w:tabs>
        <w:spacing w:before="0" w:beforeAutospacing="0" w:after="0" w:afterAutospacing="0" w:line="360" w:lineRule="auto"/>
        <w:ind w:firstLine="482" w:firstLineChars="200"/>
        <w:jc w:val="both"/>
        <w:outlineLvl w:val="0"/>
        <w:rPr>
          <w:rFonts w:ascii="Times New Roman"/>
          <w:b/>
        </w:rPr>
      </w:pPr>
      <w:r>
        <w:rPr>
          <w:rFonts w:hint="eastAsia" w:ascii="Times New Roman"/>
          <w:b/>
        </w:rPr>
        <w:t>三、核心课程</w:t>
      </w:r>
    </w:p>
    <w:p w14:paraId="39CF2AAA">
      <w:pPr>
        <w:pStyle w:val="11"/>
        <w:rPr>
          <w:rFonts w:hint="eastAsia" w:ascii="inherit" w:hAnsi="inherit" w:cs="Segoe UI"/>
          <w:kern w:val="0"/>
          <w:szCs w:val="24"/>
        </w:rPr>
      </w:pPr>
      <w:r>
        <w:rPr>
          <w:rFonts w:hint="eastAsia" w:ascii="inherit" w:hAnsi="inherit" w:cs="Segoe UI"/>
          <w:kern w:val="0"/>
          <w:szCs w:val="24"/>
        </w:rPr>
        <w:t>微观经济学、宏观经济学、政治经济学、金融学科导论、金融学、国际金融学、投资学、商业银行经营管理、公司金融、衍生金融工具、金融机器学习、数据科学导论、统计编程基础等。</w:t>
      </w:r>
    </w:p>
    <w:p w14:paraId="5BA49093">
      <w:pPr>
        <w:pStyle w:val="15"/>
        <w:tabs>
          <w:tab w:val="left" w:pos="851"/>
        </w:tabs>
        <w:spacing w:before="0" w:beforeAutospacing="0" w:after="0" w:afterAutospacing="0" w:line="360" w:lineRule="auto"/>
        <w:ind w:firstLine="482" w:firstLineChars="200"/>
        <w:jc w:val="both"/>
        <w:outlineLvl w:val="0"/>
        <w:rPr>
          <w:rFonts w:ascii="Times New Roman"/>
          <w:b/>
          <w:color w:val="0F0000"/>
        </w:rPr>
      </w:pPr>
      <w:r>
        <w:rPr>
          <w:rFonts w:hint="eastAsia" w:ascii="Times New Roman"/>
          <w:b/>
        </w:rPr>
        <w:t>四</w:t>
      </w:r>
      <w:r>
        <w:rPr>
          <w:rFonts w:ascii="Times New Roman"/>
          <w:b/>
        </w:rPr>
        <w:t>、培养特</w:t>
      </w:r>
      <w:r>
        <w:rPr>
          <w:rFonts w:ascii="Times New Roman"/>
          <w:b/>
          <w:color w:val="0F0000"/>
        </w:rPr>
        <w:t>色</w:t>
      </w:r>
    </w:p>
    <w:p w14:paraId="534B48EB">
      <w:pPr>
        <w:pStyle w:val="11"/>
        <w:ind w:firstLine="482"/>
        <w:rPr>
          <w:rFonts w:ascii="Times New Roman" w:hAnsi="Times New Roman"/>
          <w:b/>
          <w:bCs/>
          <w:szCs w:val="24"/>
        </w:rPr>
      </w:pPr>
      <w:r>
        <w:rPr>
          <w:rFonts w:hint="eastAsia" w:ascii="Times New Roman" w:hAnsi="Times New Roman"/>
          <w:b/>
          <w:bCs/>
          <w:szCs w:val="24"/>
        </w:rPr>
        <w:t>1．夯实金融理论，融汇数据科学与大数据技术</w:t>
      </w:r>
    </w:p>
    <w:p w14:paraId="0A394055">
      <w:pPr>
        <w:pStyle w:val="11"/>
        <w:rPr>
          <w:rFonts w:ascii="Segoe UI" w:hAnsi="Segoe UI" w:cs="Segoe UI"/>
          <w:color w:val="404040"/>
          <w:shd w:val="clear" w:color="auto" w:fill="FFFFFF"/>
        </w:rPr>
      </w:pPr>
      <w:r>
        <w:rPr>
          <w:rFonts w:ascii="Segoe UI" w:hAnsi="Segoe UI" w:cs="Segoe UI"/>
          <w:color w:val="404040"/>
          <w:shd w:val="clear" w:color="auto" w:fill="FFFFFF"/>
        </w:rPr>
        <w:t>打造</w:t>
      </w:r>
      <w:r>
        <w:rPr>
          <w:rFonts w:hint="eastAsia" w:ascii="Segoe UI" w:hAnsi="Segoe UI" w:cs="Segoe UI"/>
          <w:color w:val="404040"/>
          <w:shd w:val="clear" w:color="auto" w:fill="FFFFFF"/>
        </w:rPr>
        <w:t>“</w:t>
      </w:r>
      <w:r>
        <w:rPr>
          <w:rFonts w:ascii="Segoe UI" w:hAnsi="Segoe UI" w:cs="Segoe UI"/>
          <w:color w:val="404040"/>
          <w:shd w:val="clear" w:color="auto" w:fill="FFFFFF"/>
        </w:rPr>
        <w:t>金融理论+数据科学+技术应用</w:t>
      </w:r>
      <w:r>
        <w:rPr>
          <w:rFonts w:hint="eastAsia" w:ascii="Segoe UI" w:hAnsi="Segoe UI" w:cs="Segoe UI"/>
          <w:color w:val="404040"/>
          <w:shd w:val="clear" w:color="auto" w:fill="FFFFFF"/>
        </w:rPr>
        <w:t>”</w:t>
      </w:r>
      <w:r>
        <w:rPr>
          <w:rFonts w:ascii="Segoe UI" w:hAnsi="Segoe UI" w:cs="Segoe UI"/>
          <w:color w:val="404040"/>
          <w:shd w:val="clear" w:color="auto" w:fill="FFFFFF"/>
        </w:rPr>
        <w:t>三维课程体系，</w:t>
      </w:r>
      <w:r>
        <w:rPr>
          <w:rFonts w:hint="eastAsia" w:ascii="Segoe UI" w:hAnsi="Segoe UI" w:cs="Segoe UI"/>
          <w:color w:val="404040"/>
          <w:shd w:val="clear" w:color="auto" w:fill="FFFFFF"/>
        </w:rPr>
        <w:t>强调金融学与数据科学、大数据技术的深度融合，培养具备跨学科知识体系和创新思维的复合型人才。依托“数智+金融”的育人理念，优化知识结构，强化数据分析、量化建模和智能决策能力。持续拓展国际国内交流与实践平台，培养学生在全球化背景下的金融科技视野和跨文化协作能力。</w:t>
      </w:r>
    </w:p>
    <w:p w14:paraId="5165B201">
      <w:pPr>
        <w:pStyle w:val="11"/>
        <w:ind w:firstLine="482"/>
        <w:rPr>
          <w:rFonts w:ascii="Times New Roman" w:hAnsi="Times New Roman"/>
          <w:b/>
          <w:bCs/>
          <w:szCs w:val="24"/>
        </w:rPr>
      </w:pPr>
      <w:r>
        <w:rPr>
          <w:rFonts w:hint="eastAsia" w:ascii="Times New Roman" w:hAnsi="Times New Roman"/>
          <w:b/>
          <w:bCs/>
          <w:szCs w:val="24"/>
        </w:rPr>
        <w:t>2．产学研深度融合，强化数据驱动的金融实务能力</w:t>
      </w:r>
    </w:p>
    <w:p w14:paraId="456AA1E3">
      <w:pPr>
        <w:pStyle w:val="11"/>
        <w:rPr>
          <w:rFonts w:ascii="Segoe UI" w:hAnsi="Segoe UI" w:cs="Segoe UI"/>
          <w:color w:val="404040"/>
          <w:shd w:val="clear" w:color="auto" w:fill="FFFFFF"/>
        </w:rPr>
      </w:pPr>
      <w:r>
        <w:rPr>
          <w:rFonts w:ascii="Segoe UI" w:hAnsi="Segoe UI" w:cs="Segoe UI"/>
          <w:color w:val="404040"/>
          <w:shd w:val="clear" w:color="auto" w:fill="FFFFFF"/>
        </w:rPr>
        <w:t>搭建金融大数据分析实验中心与量化金融仿真平台，联合商业银行科技部门、金融科技企业建立</w:t>
      </w:r>
      <w:r>
        <w:rPr>
          <w:rFonts w:hint="eastAsia" w:ascii="Segoe UI" w:hAnsi="Segoe UI" w:cs="Segoe UI"/>
          <w:color w:val="404040"/>
          <w:shd w:val="clear" w:color="auto" w:fill="FFFFFF"/>
        </w:rPr>
        <w:t>“</w:t>
      </w:r>
      <w:r>
        <w:rPr>
          <w:rFonts w:ascii="Segoe UI" w:hAnsi="Segoe UI" w:cs="Segoe UI"/>
          <w:color w:val="404040"/>
          <w:shd w:val="clear" w:color="auto" w:fill="FFFFFF"/>
        </w:rPr>
        <w:t>产-学-研-创</w:t>
      </w:r>
      <w:r>
        <w:rPr>
          <w:rFonts w:hint="eastAsia" w:ascii="Segoe UI" w:hAnsi="Segoe UI" w:cs="Segoe UI"/>
          <w:color w:val="404040"/>
          <w:shd w:val="clear" w:color="auto" w:fill="FFFFFF"/>
        </w:rPr>
        <w:t>”</w:t>
      </w:r>
      <w:r>
        <w:rPr>
          <w:rFonts w:ascii="Segoe UI" w:hAnsi="Segoe UI" w:cs="Segoe UI"/>
          <w:color w:val="404040"/>
          <w:shd w:val="clear" w:color="auto" w:fill="FFFFFF"/>
        </w:rPr>
        <w:t>四维实践基地。</w:t>
      </w:r>
      <w:r>
        <w:rPr>
          <w:rFonts w:hint="eastAsia" w:ascii="Segoe UI" w:hAnsi="Segoe UI" w:cs="Segoe UI"/>
          <w:color w:val="404040"/>
          <w:shd w:val="clear" w:color="auto" w:fill="FFFFFF"/>
        </w:rPr>
        <w:t>优化实验教学内容，引入大数据分析工具、机器学习方法和金融科技平台，增强学生利用数据解决复杂金融问题的能力。通过案例研究、金融科技项目和创新竞赛等多种形式，培养学生的数据洞察力、量化分析能力和金融科技应用能力。</w:t>
      </w:r>
      <w:r>
        <w:rPr>
          <w:rFonts w:ascii="Segoe UI" w:hAnsi="Segoe UI" w:cs="Segoe UI"/>
          <w:color w:val="404040"/>
          <w:shd w:val="clear" w:color="auto" w:fill="FFFFFF"/>
        </w:rPr>
        <w:t>强化数据治理与金融伦理教育，构建符合数字经济时代需求的科技向善价值观。</w:t>
      </w:r>
    </w:p>
    <w:p w14:paraId="26D14CEB">
      <w:pPr>
        <w:pStyle w:val="11"/>
        <w:ind w:firstLine="482"/>
        <w:rPr>
          <w:rFonts w:ascii="Times New Roman" w:hAnsi="Times New Roman"/>
          <w:b/>
          <w:bCs/>
          <w:szCs w:val="24"/>
        </w:rPr>
      </w:pPr>
      <w:r>
        <w:rPr>
          <w:rFonts w:hint="eastAsia" w:ascii="Times New Roman" w:hAnsi="Times New Roman"/>
          <w:b/>
          <w:bCs/>
          <w:szCs w:val="24"/>
        </w:rPr>
        <w:t>3．创新学科交叉培养模式，引领金融科技前沿</w:t>
      </w:r>
    </w:p>
    <w:p w14:paraId="4680A9D7">
      <w:pPr>
        <w:pStyle w:val="11"/>
        <w:rPr>
          <w:rFonts w:ascii="Times New Roman"/>
          <w:szCs w:val="24"/>
        </w:rPr>
      </w:pPr>
      <w:r>
        <w:rPr>
          <w:rFonts w:hint="eastAsia" w:ascii="Times New Roman" w:hAnsi="Times New Roman"/>
          <w:szCs w:val="24"/>
        </w:rPr>
        <w:t>构建CFA/FRM与CDA/Python量化分析师双认证体系，开设金融大数据挖掘、算法交易系统设计等特色课程。通过数学建模、计算机科学与金融学的深度交叉，培育学生量化分析建模与金融算法设计能力。开展金融科技黑客松、数字金融创新大赛等实战项目，建立“金融场景+数据建模+技术实现”三位一体的拔尖人才培养机制，形成覆盖金融科技全产业链的国际化认证体系。</w:t>
      </w:r>
    </w:p>
    <w:p w14:paraId="5100681C">
      <w:pPr>
        <w:pStyle w:val="15"/>
        <w:tabs>
          <w:tab w:val="left" w:pos="851"/>
        </w:tabs>
        <w:spacing w:before="0" w:beforeAutospacing="0" w:after="0" w:afterAutospacing="0" w:line="360" w:lineRule="auto"/>
        <w:ind w:firstLine="482" w:firstLineChars="200"/>
        <w:jc w:val="both"/>
        <w:outlineLvl w:val="0"/>
        <w:rPr>
          <w:rFonts w:ascii="Times New Roman"/>
          <w:b/>
        </w:rPr>
      </w:pPr>
      <w:r>
        <w:rPr>
          <w:rFonts w:ascii="Times New Roman"/>
          <w:b/>
        </w:rPr>
        <w:t>五、学制、学位及毕业条件</w:t>
      </w:r>
    </w:p>
    <w:p w14:paraId="17A6CD32">
      <w:pPr>
        <w:adjustRightInd w:val="0"/>
        <w:snapToGrid w:val="0"/>
        <w:spacing w:after="0" w:line="360" w:lineRule="auto"/>
        <w:ind w:firstLine="480" w:firstLineChars="200"/>
        <w:rPr>
          <w:rFonts w:ascii="Times New Roman" w:hAnsi="Times New Roman" w:eastAsia="宋体" w:cs="Arial"/>
          <w:sz w:val="24"/>
        </w:rPr>
      </w:pPr>
      <w:r>
        <w:rPr>
          <w:rFonts w:hint="eastAsia" w:ascii="Times New Roman" w:hAnsi="Times New Roman" w:eastAsia="宋体" w:cs="Arial"/>
          <w:sz w:val="24"/>
        </w:rPr>
        <w:t>学制：本专业基本学制为四年，实行弹性修业</w:t>
      </w:r>
      <w:bookmarkStart w:id="0" w:name="_GoBack"/>
      <w:bookmarkEnd w:id="0"/>
      <w:r>
        <w:rPr>
          <w:rFonts w:hint="eastAsia" w:ascii="Times New Roman" w:hAnsi="Times New Roman" w:eastAsia="宋体" w:cs="Arial"/>
          <w:sz w:val="24"/>
        </w:rPr>
        <w:t>年限制度，学生在校修业年限可以提前至三年或延长至六年，修满规定的学分准予毕业。</w:t>
      </w:r>
    </w:p>
    <w:p w14:paraId="751AB487">
      <w:pPr>
        <w:adjustRightInd w:val="0"/>
        <w:snapToGrid w:val="0"/>
        <w:spacing w:after="0" w:line="360" w:lineRule="auto"/>
        <w:ind w:firstLine="480" w:firstLineChars="200"/>
        <w:rPr>
          <w:rFonts w:ascii="Times New Roman" w:hAnsi="Times New Roman" w:eastAsia="宋体" w:cs="Arial"/>
          <w:sz w:val="24"/>
        </w:rPr>
      </w:pPr>
      <w:r>
        <w:rPr>
          <w:rFonts w:hint="eastAsia" w:ascii="Times New Roman" w:hAnsi="Times New Roman" w:eastAsia="宋体" w:cs="Arial"/>
          <w:sz w:val="24"/>
        </w:rPr>
        <w:t>学位</w:t>
      </w:r>
      <w:r>
        <w:rPr>
          <w:rFonts w:hint="eastAsia" w:ascii="Times New Roman" w:hAnsi="Times New Roman" w:eastAsia="宋体" w:cs="Arial"/>
          <w:color w:val="auto"/>
          <w:sz w:val="24"/>
        </w:rPr>
        <w:t>：符合学士学位授予条件者，授予经济学和理学双学士学位。</w:t>
      </w:r>
    </w:p>
    <w:p w14:paraId="1C8C962E">
      <w:pPr>
        <w:adjustRightInd w:val="0"/>
        <w:snapToGrid w:val="0"/>
        <w:spacing w:after="0" w:line="360" w:lineRule="auto"/>
        <w:ind w:firstLine="480" w:firstLineChars="200"/>
        <w:rPr>
          <w:rFonts w:ascii="Times New Roman" w:hAnsi="Times New Roman" w:eastAsia="宋体" w:cs="Arial"/>
          <w:sz w:val="24"/>
        </w:rPr>
      </w:pPr>
      <w:r>
        <w:rPr>
          <w:rFonts w:hint="eastAsia" w:ascii="Times New Roman" w:hAnsi="Times New Roman" w:eastAsia="宋体" w:cs="Arial"/>
          <w:sz w:val="24"/>
        </w:rPr>
        <w:t>毕业条件：学生在规定的学习年限内，完成培养方案要求的最低总学分170学分。其中：</w:t>
      </w:r>
    </w:p>
    <w:tbl>
      <w:tblPr>
        <w:tblStyle w:val="17"/>
        <w:tblW w:w="733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5"/>
        <w:gridCol w:w="2643"/>
        <w:gridCol w:w="1302"/>
        <w:gridCol w:w="1351"/>
      </w:tblGrid>
      <w:tr w14:paraId="213E95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6A355B">
            <w:pPr>
              <w:jc w:val="center"/>
              <w:rPr>
                <w:rFonts w:ascii="Times New Roman" w:hAnsi="宋体" w:eastAsia="宋体" w:cs="Arial"/>
                <w:sz w:val="24"/>
              </w:rPr>
            </w:pPr>
            <w:r>
              <w:rPr>
                <w:rFonts w:hint="eastAsia" w:ascii="Times New Roman" w:hAnsi="宋体" w:eastAsia="宋体" w:cs="Arial"/>
                <w:sz w:val="24"/>
              </w:rPr>
              <w:t>教学环节</w:t>
            </w:r>
          </w:p>
        </w:tc>
        <w:tc>
          <w:tcPr>
            <w:tcW w:w="2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8DCB4E">
            <w:pPr>
              <w:jc w:val="center"/>
              <w:rPr>
                <w:rFonts w:ascii="Times New Roman" w:hAnsi="宋体" w:eastAsia="宋体" w:cs="Arial"/>
                <w:sz w:val="24"/>
              </w:rPr>
            </w:pPr>
            <w:r>
              <w:rPr>
                <w:rFonts w:hint="eastAsia" w:ascii="Times New Roman" w:hAnsi="宋体" w:eastAsia="宋体" w:cs="Arial"/>
                <w:sz w:val="24"/>
              </w:rPr>
              <w:t>课程类别</w:t>
            </w: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BD7B14">
            <w:pPr>
              <w:jc w:val="center"/>
              <w:rPr>
                <w:rFonts w:ascii="Times New Roman" w:hAnsi="宋体" w:eastAsia="宋体" w:cs="Arial"/>
                <w:sz w:val="24"/>
              </w:rPr>
            </w:pPr>
            <w:r>
              <w:rPr>
                <w:rFonts w:hint="eastAsia" w:ascii="Times New Roman" w:hAnsi="宋体" w:eastAsia="宋体" w:cs="Arial"/>
                <w:sz w:val="24"/>
              </w:rPr>
              <w:t>门数</w:t>
            </w:r>
          </w:p>
        </w:tc>
        <w:tc>
          <w:tcPr>
            <w:tcW w:w="13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277EF6">
            <w:pPr>
              <w:jc w:val="center"/>
              <w:rPr>
                <w:rFonts w:ascii="Times New Roman" w:hAnsi="宋体" w:eastAsia="宋体" w:cs="Arial"/>
                <w:sz w:val="24"/>
              </w:rPr>
            </w:pPr>
            <w:r>
              <w:rPr>
                <w:rFonts w:hint="eastAsia" w:ascii="Times New Roman" w:hAnsi="宋体" w:eastAsia="宋体" w:cs="Arial"/>
                <w:sz w:val="24"/>
              </w:rPr>
              <w:t>学分</w:t>
            </w:r>
          </w:p>
        </w:tc>
      </w:tr>
      <w:tr w14:paraId="3BF583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03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8F0E269">
            <w:pPr>
              <w:jc w:val="center"/>
              <w:rPr>
                <w:rFonts w:ascii="Times New Roman" w:hAnsi="宋体" w:eastAsia="宋体" w:cs="Arial"/>
                <w:sz w:val="24"/>
              </w:rPr>
            </w:pPr>
            <w:r>
              <w:rPr>
                <w:rFonts w:hint="eastAsia" w:ascii="Times New Roman" w:hAnsi="宋体" w:eastAsia="宋体" w:cs="Arial"/>
                <w:sz w:val="24"/>
              </w:rPr>
              <w:t>通识教育</w:t>
            </w:r>
          </w:p>
        </w:tc>
        <w:tc>
          <w:tcPr>
            <w:tcW w:w="2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2AC364">
            <w:pPr>
              <w:jc w:val="center"/>
              <w:rPr>
                <w:rFonts w:ascii="Times New Roman" w:hAnsi="宋体" w:eastAsia="宋体" w:cs="Arial"/>
                <w:sz w:val="24"/>
              </w:rPr>
            </w:pPr>
            <w:r>
              <w:rPr>
                <w:rFonts w:hint="eastAsia" w:ascii="Times New Roman" w:hAnsi="宋体" w:eastAsia="宋体" w:cs="Arial"/>
                <w:sz w:val="24"/>
              </w:rPr>
              <w:t>通识教育必修课</w:t>
            </w: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F96A6E0">
            <w:pPr>
              <w:jc w:val="center"/>
              <w:rPr>
                <w:rFonts w:ascii="Times New Roman" w:hAnsi="宋体" w:eastAsia="宋体" w:cs="Arial"/>
                <w:sz w:val="24"/>
              </w:rPr>
            </w:pPr>
            <w:r>
              <w:rPr>
                <w:rFonts w:hint="eastAsia" w:ascii="Times New Roman" w:hAnsi="宋体" w:eastAsia="宋体" w:cs="Arial"/>
                <w:sz w:val="24"/>
              </w:rPr>
              <w:t>23</w:t>
            </w:r>
          </w:p>
        </w:tc>
        <w:tc>
          <w:tcPr>
            <w:tcW w:w="135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18CA727">
            <w:pPr>
              <w:jc w:val="center"/>
              <w:rPr>
                <w:rFonts w:ascii="Times New Roman" w:hAnsi="宋体" w:eastAsia="宋体" w:cs="Arial"/>
                <w:sz w:val="24"/>
              </w:rPr>
            </w:pPr>
            <w:r>
              <w:rPr>
                <w:rFonts w:hint="eastAsia" w:ascii="Times New Roman" w:hAnsi="宋体" w:eastAsia="宋体" w:cs="Arial"/>
                <w:sz w:val="24"/>
              </w:rPr>
              <w:t>52</w:t>
            </w:r>
          </w:p>
        </w:tc>
      </w:tr>
      <w:tr w14:paraId="4EB8C0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03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4CEE47B">
            <w:pPr>
              <w:jc w:val="center"/>
              <w:rPr>
                <w:rFonts w:ascii="Times New Roman" w:hAnsi="宋体" w:eastAsia="宋体" w:cs="Arial"/>
                <w:sz w:val="24"/>
              </w:rPr>
            </w:pPr>
          </w:p>
        </w:tc>
        <w:tc>
          <w:tcPr>
            <w:tcW w:w="2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2030AE">
            <w:pPr>
              <w:jc w:val="center"/>
              <w:rPr>
                <w:rFonts w:ascii="Times New Roman" w:hAnsi="宋体" w:eastAsia="宋体" w:cs="Arial"/>
                <w:sz w:val="24"/>
              </w:rPr>
            </w:pPr>
            <w:r>
              <w:rPr>
                <w:rFonts w:hint="eastAsia" w:ascii="Times New Roman" w:hAnsi="宋体" w:eastAsia="宋体" w:cs="Arial"/>
                <w:sz w:val="24"/>
              </w:rPr>
              <w:t>通识教育选修课</w:t>
            </w: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DF84F91">
            <w:pPr>
              <w:jc w:val="center"/>
              <w:rPr>
                <w:rFonts w:ascii="Times New Roman" w:hAnsi="宋体" w:eastAsia="宋体" w:cs="Arial"/>
                <w:sz w:val="24"/>
              </w:rPr>
            </w:pPr>
            <w:r>
              <w:rPr>
                <w:rFonts w:hint="eastAsia" w:ascii="Times New Roman" w:hAnsi="宋体" w:eastAsia="宋体" w:cs="Arial"/>
                <w:sz w:val="24"/>
              </w:rPr>
              <w:t>—</w:t>
            </w:r>
          </w:p>
        </w:tc>
        <w:tc>
          <w:tcPr>
            <w:tcW w:w="135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A1124AD">
            <w:pPr>
              <w:jc w:val="center"/>
              <w:rPr>
                <w:rFonts w:ascii="Times New Roman" w:hAnsi="宋体" w:eastAsia="宋体" w:cs="Arial"/>
                <w:sz w:val="24"/>
              </w:rPr>
            </w:pPr>
            <w:r>
              <w:rPr>
                <w:rFonts w:hint="eastAsia" w:ascii="Times New Roman" w:hAnsi="宋体" w:eastAsia="宋体" w:cs="Arial"/>
                <w:sz w:val="24"/>
              </w:rPr>
              <w:t>10</w:t>
            </w:r>
          </w:p>
        </w:tc>
      </w:tr>
      <w:tr w14:paraId="78813C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03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0C7D05C">
            <w:pPr>
              <w:jc w:val="center"/>
              <w:rPr>
                <w:rFonts w:ascii="Times New Roman" w:hAnsi="宋体" w:eastAsia="宋体" w:cs="Arial"/>
                <w:sz w:val="24"/>
              </w:rPr>
            </w:pPr>
            <w:r>
              <w:rPr>
                <w:rFonts w:hint="eastAsia" w:ascii="Times New Roman" w:hAnsi="宋体" w:eastAsia="宋体" w:cs="Arial"/>
                <w:sz w:val="24"/>
              </w:rPr>
              <w:t>专业教育</w:t>
            </w:r>
          </w:p>
        </w:tc>
        <w:tc>
          <w:tcPr>
            <w:tcW w:w="2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9112E5">
            <w:pPr>
              <w:jc w:val="center"/>
              <w:rPr>
                <w:rFonts w:ascii="Times New Roman" w:hAnsi="宋体" w:eastAsia="宋体" w:cs="Arial"/>
                <w:sz w:val="24"/>
              </w:rPr>
            </w:pPr>
            <w:r>
              <w:rPr>
                <w:rFonts w:hint="eastAsia" w:ascii="Times New Roman" w:hAnsi="宋体" w:eastAsia="宋体" w:cs="Arial"/>
                <w:sz w:val="24"/>
              </w:rPr>
              <w:t>专业必修课</w:t>
            </w: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48E9AE1">
            <w:pPr>
              <w:jc w:val="center"/>
              <w:rPr>
                <w:rFonts w:ascii="Times New Roman" w:hAnsi="宋体" w:eastAsia="宋体" w:cs="Arial"/>
                <w:sz w:val="24"/>
              </w:rPr>
            </w:pPr>
            <w:r>
              <w:rPr>
                <w:rFonts w:hint="eastAsia" w:ascii="Times New Roman" w:hAnsi="宋体" w:eastAsia="宋体" w:cs="Arial"/>
                <w:sz w:val="24"/>
              </w:rPr>
              <w:t>13</w:t>
            </w:r>
          </w:p>
        </w:tc>
        <w:tc>
          <w:tcPr>
            <w:tcW w:w="135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DD892B6">
            <w:pPr>
              <w:jc w:val="center"/>
              <w:rPr>
                <w:rFonts w:ascii="Times New Roman" w:hAnsi="宋体" w:eastAsia="宋体" w:cs="Arial"/>
                <w:sz w:val="24"/>
              </w:rPr>
            </w:pPr>
            <w:r>
              <w:rPr>
                <w:rFonts w:hint="eastAsia" w:ascii="Times New Roman" w:hAnsi="宋体" w:eastAsia="宋体" w:cs="Arial"/>
                <w:sz w:val="24"/>
              </w:rPr>
              <w:t>35</w:t>
            </w:r>
          </w:p>
        </w:tc>
      </w:tr>
      <w:tr w14:paraId="4E75D0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03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0F3ADFE">
            <w:pPr>
              <w:widowControl/>
              <w:jc w:val="center"/>
              <w:rPr>
                <w:rFonts w:ascii="Times New Roman" w:hAnsi="宋体" w:eastAsia="宋体" w:cs="Arial"/>
                <w:sz w:val="24"/>
              </w:rPr>
            </w:pPr>
          </w:p>
        </w:tc>
        <w:tc>
          <w:tcPr>
            <w:tcW w:w="2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66B686">
            <w:pPr>
              <w:jc w:val="center"/>
              <w:rPr>
                <w:rFonts w:ascii="Times New Roman" w:hAnsi="宋体" w:eastAsia="宋体" w:cs="Arial"/>
                <w:sz w:val="24"/>
              </w:rPr>
            </w:pPr>
            <w:r>
              <w:rPr>
                <w:rFonts w:hint="eastAsia" w:ascii="Times New Roman" w:hAnsi="宋体" w:eastAsia="宋体" w:cs="Arial"/>
                <w:sz w:val="24"/>
              </w:rPr>
              <w:t>专业选修课</w:t>
            </w:r>
          </w:p>
        </w:tc>
        <w:tc>
          <w:tcPr>
            <w:tcW w:w="130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27516EF">
            <w:pPr>
              <w:jc w:val="center"/>
              <w:rPr>
                <w:rFonts w:ascii="Times New Roman" w:hAnsi="宋体" w:eastAsia="宋体" w:cs="Arial"/>
                <w:sz w:val="24"/>
              </w:rPr>
            </w:pPr>
            <w:r>
              <w:rPr>
                <w:rFonts w:hint="eastAsia" w:ascii="Times New Roman" w:hAnsi="宋体" w:eastAsia="宋体" w:cs="Arial"/>
                <w:sz w:val="24"/>
              </w:rPr>
              <w:t>—</w:t>
            </w:r>
          </w:p>
        </w:tc>
        <w:tc>
          <w:tcPr>
            <w:tcW w:w="135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0FDAA29">
            <w:pPr>
              <w:jc w:val="center"/>
              <w:rPr>
                <w:rFonts w:ascii="Times New Roman" w:hAnsi="宋体" w:eastAsia="宋体" w:cs="Arial"/>
                <w:sz w:val="24"/>
              </w:rPr>
            </w:pPr>
            <w:r>
              <w:rPr>
                <w:rFonts w:hint="eastAsia" w:ascii="Times New Roman" w:hAnsi="宋体" w:eastAsia="宋体" w:cs="Arial"/>
                <w:sz w:val="24"/>
              </w:rPr>
              <w:t>46</w:t>
            </w:r>
          </w:p>
        </w:tc>
      </w:tr>
      <w:tr w14:paraId="3C2FCC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6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D9C251">
            <w:pPr>
              <w:jc w:val="center"/>
              <w:rPr>
                <w:rFonts w:ascii="Times New Roman" w:hAnsi="宋体" w:eastAsia="宋体" w:cs="Arial"/>
                <w:sz w:val="24"/>
              </w:rPr>
            </w:pPr>
            <w:r>
              <w:rPr>
                <w:rFonts w:hint="eastAsia" w:ascii="Times New Roman" w:hAnsi="宋体" w:eastAsia="宋体" w:cs="Arial"/>
                <w:sz w:val="24"/>
              </w:rPr>
              <w:t>实践教育（不含课堂实验学分）</w:t>
            </w:r>
          </w:p>
        </w:tc>
        <w:tc>
          <w:tcPr>
            <w:tcW w:w="130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5005AB7">
            <w:pPr>
              <w:jc w:val="center"/>
              <w:rPr>
                <w:rFonts w:ascii="Times New Roman" w:hAnsi="宋体" w:eastAsia="宋体" w:cs="Arial"/>
                <w:sz w:val="24"/>
              </w:rPr>
            </w:pPr>
            <w:r>
              <w:rPr>
                <w:rFonts w:hint="eastAsia" w:ascii="Times New Roman" w:hAnsi="宋体" w:eastAsia="宋体" w:cs="Arial"/>
                <w:sz w:val="24"/>
              </w:rPr>
              <w:t>9</w:t>
            </w:r>
          </w:p>
        </w:tc>
        <w:tc>
          <w:tcPr>
            <w:tcW w:w="135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9A50EA6">
            <w:pPr>
              <w:jc w:val="center"/>
              <w:rPr>
                <w:rFonts w:ascii="Times New Roman" w:hAnsi="宋体" w:eastAsia="宋体" w:cs="Arial"/>
                <w:sz w:val="24"/>
              </w:rPr>
            </w:pPr>
            <w:r>
              <w:rPr>
                <w:rFonts w:hint="eastAsia" w:ascii="Times New Roman" w:hAnsi="宋体" w:eastAsia="宋体" w:cs="Arial"/>
                <w:sz w:val="24"/>
              </w:rPr>
              <w:t>27</w:t>
            </w:r>
          </w:p>
        </w:tc>
      </w:tr>
      <w:tr w14:paraId="1DB30B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6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D8328C">
            <w:pPr>
              <w:jc w:val="center"/>
              <w:rPr>
                <w:rFonts w:ascii="Times New Roman" w:hAnsi="宋体" w:eastAsia="宋体" w:cs="Arial"/>
                <w:sz w:val="24"/>
              </w:rPr>
            </w:pPr>
            <w:r>
              <w:rPr>
                <w:rFonts w:hint="eastAsia" w:ascii="Times New Roman" w:hAnsi="宋体" w:eastAsia="宋体" w:cs="Arial"/>
                <w:sz w:val="24"/>
              </w:rPr>
              <w:t>体质健康测试</w:t>
            </w:r>
          </w:p>
        </w:tc>
        <w:tc>
          <w:tcPr>
            <w:tcW w:w="2653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117EB84">
            <w:pPr>
              <w:jc w:val="center"/>
              <w:rPr>
                <w:rFonts w:ascii="Times New Roman" w:hAnsi="宋体" w:eastAsia="宋体" w:cs="Arial"/>
                <w:sz w:val="24"/>
              </w:rPr>
            </w:pPr>
            <w:r>
              <w:rPr>
                <w:rFonts w:hint="eastAsia" w:ascii="Times New Roman" w:hAnsi="宋体" w:eastAsia="宋体" w:cs="Arial"/>
                <w:sz w:val="24"/>
              </w:rPr>
              <w:t>通过</w:t>
            </w:r>
          </w:p>
        </w:tc>
      </w:tr>
      <w:tr w14:paraId="3A054C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6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D8CA67">
            <w:pPr>
              <w:jc w:val="center"/>
              <w:rPr>
                <w:rFonts w:ascii="Times New Roman" w:hAnsi="宋体" w:eastAsia="宋体" w:cs="Arial"/>
                <w:sz w:val="24"/>
              </w:rPr>
            </w:pPr>
            <w:r>
              <w:rPr>
                <w:rFonts w:hint="eastAsia" w:ascii="Times New Roman" w:hAnsi="宋体" w:eastAsia="宋体" w:cs="Arial"/>
                <w:sz w:val="24"/>
              </w:rPr>
              <w:t>总计</w:t>
            </w:r>
          </w:p>
        </w:tc>
        <w:tc>
          <w:tcPr>
            <w:tcW w:w="130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D9D930">
            <w:pPr>
              <w:jc w:val="center"/>
              <w:rPr>
                <w:rFonts w:ascii="Times New Roman" w:hAnsi="宋体" w:eastAsia="宋体" w:cs="Arial"/>
                <w:sz w:val="24"/>
              </w:rPr>
            </w:pPr>
          </w:p>
        </w:tc>
        <w:tc>
          <w:tcPr>
            <w:tcW w:w="135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6DE55F">
            <w:pPr>
              <w:jc w:val="center"/>
              <w:rPr>
                <w:rFonts w:ascii="Times New Roman" w:hAnsi="宋体" w:eastAsia="宋体" w:cs="Arial"/>
                <w:sz w:val="24"/>
              </w:rPr>
            </w:pPr>
            <w:r>
              <w:rPr>
                <w:rFonts w:hint="eastAsia" w:ascii="Times New Roman" w:hAnsi="宋体" w:eastAsia="宋体" w:cs="Arial"/>
                <w:sz w:val="24"/>
              </w:rPr>
              <w:t>170</w:t>
            </w:r>
          </w:p>
        </w:tc>
      </w:tr>
    </w:tbl>
    <w:p w14:paraId="785B302F">
      <w:pPr>
        <w:spacing w:line="360" w:lineRule="auto"/>
        <w:rPr>
          <w:rFonts w:ascii="Times New Roman" w:hAnsi="宋体" w:eastAsia="宋体" w:cs="Arial"/>
          <w:sz w:val="24"/>
        </w:rPr>
      </w:pPr>
    </w:p>
    <w:p w14:paraId="5D5462C6">
      <w:pPr>
        <w:pStyle w:val="15"/>
        <w:tabs>
          <w:tab w:val="left" w:pos="851"/>
        </w:tabs>
        <w:spacing w:before="0" w:beforeAutospacing="0" w:after="0" w:afterAutospacing="0" w:line="360" w:lineRule="auto"/>
        <w:ind w:firstLine="482" w:firstLineChars="200"/>
        <w:jc w:val="both"/>
        <w:outlineLvl w:val="0"/>
        <w:rPr>
          <w:rFonts w:ascii="Times New Roman"/>
          <w:b/>
        </w:rPr>
      </w:pPr>
      <w:r>
        <w:rPr>
          <w:rFonts w:hint="eastAsia" w:ascii="Times New Roman"/>
          <w:b/>
        </w:rPr>
        <w:t>六</w:t>
      </w:r>
      <w:r>
        <w:rPr>
          <w:rFonts w:ascii="Times New Roman"/>
          <w:b/>
        </w:rPr>
        <w:t>、学分一览表</w:t>
      </w:r>
    </w:p>
    <w:p w14:paraId="095E2EC2">
      <w:pPr>
        <w:adjustRightInd w:val="0"/>
        <w:snapToGrid w:val="0"/>
        <w:spacing w:line="360" w:lineRule="exact"/>
        <w:jc w:val="center"/>
        <w:rPr>
          <w:rFonts w:ascii="Times New Roman" w:hAnsi="宋体" w:eastAsia="宋体" w:cs="Arial"/>
          <w:b/>
          <w:bCs/>
          <w:sz w:val="24"/>
        </w:rPr>
      </w:pPr>
      <w:r>
        <w:rPr>
          <w:rFonts w:hint="eastAsia" w:ascii="Times New Roman" w:hAnsi="宋体" w:eastAsia="宋体" w:cs="Arial"/>
          <w:b/>
          <w:bCs/>
          <w:sz w:val="24"/>
        </w:rPr>
        <w:t>表1 总学分一览表</w:t>
      </w:r>
    </w:p>
    <w:tbl>
      <w:tblPr>
        <w:tblStyle w:val="17"/>
        <w:tblW w:w="864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1"/>
        <w:gridCol w:w="1548"/>
        <w:gridCol w:w="728"/>
        <w:gridCol w:w="1538"/>
        <w:gridCol w:w="767"/>
        <w:gridCol w:w="1407"/>
        <w:gridCol w:w="1428"/>
      </w:tblGrid>
      <w:tr w14:paraId="25BFA3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" w:hRule="atLeast"/>
          <w:jc w:val="center"/>
        </w:trPr>
        <w:tc>
          <w:tcPr>
            <w:tcW w:w="1231" w:type="dxa"/>
            <w:tcBorders>
              <w:top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7D34805F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宋体" w:eastAsia="宋体" w:cs="Arial"/>
                <w:sz w:val="24"/>
              </w:rPr>
            </w:pPr>
            <w:r>
              <w:rPr>
                <w:rFonts w:hint="eastAsia" w:ascii="Times New Roman" w:hAnsi="宋体" w:eastAsia="宋体" w:cs="Arial"/>
                <w:sz w:val="24"/>
              </w:rPr>
              <w:t>总学分</w:t>
            </w:r>
          </w:p>
        </w:tc>
        <w:tc>
          <w:tcPr>
            <w:tcW w:w="4581" w:type="dxa"/>
            <w:gridSpan w:val="4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22DA9AE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宋体" w:eastAsia="宋体" w:cs="Arial"/>
                <w:sz w:val="24"/>
              </w:rPr>
            </w:pPr>
            <w:r>
              <w:rPr>
                <w:rFonts w:hint="eastAsia" w:ascii="Times New Roman" w:hAnsi="宋体" w:eastAsia="宋体" w:cs="Arial"/>
                <w:sz w:val="24"/>
              </w:rPr>
              <w:t>教学方式</w:t>
            </w:r>
          </w:p>
        </w:tc>
        <w:tc>
          <w:tcPr>
            <w:tcW w:w="2835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</w:tcBorders>
            <w:vAlign w:val="center"/>
          </w:tcPr>
          <w:p w14:paraId="0CD36B14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宋体" w:eastAsia="宋体" w:cs="Arial"/>
                <w:sz w:val="24"/>
              </w:rPr>
            </w:pPr>
            <w:r>
              <w:rPr>
                <w:rFonts w:hint="eastAsia" w:ascii="Times New Roman" w:hAnsi="宋体" w:eastAsia="宋体" w:cs="Arial"/>
                <w:sz w:val="24"/>
              </w:rPr>
              <w:t>理论与实践教学比例（%）</w:t>
            </w:r>
          </w:p>
        </w:tc>
      </w:tr>
      <w:tr w14:paraId="165F4D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  <w:jc w:val="center"/>
        </w:trPr>
        <w:tc>
          <w:tcPr>
            <w:tcW w:w="1231" w:type="dxa"/>
            <w:vMerge w:val="restart"/>
            <w:tcBorders>
              <w:top w:val="single" w:color="000000" w:sz="6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43E4B990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宋体" w:eastAsia="宋体" w:cs="Arial"/>
                <w:sz w:val="24"/>
              </w:rPr>
            </w:pPr>
            <w:r>
              <w:rPr>
                <w:rFonts w:hint="eastAsia" w:ascii="Times New Roman" w:hAnsi="宋体" w:eastAsia="宋体" w:cs="Arial"/>
                <w:sz w:val="24"/>
              </w:rPr>
              <w:t>170</w:t>
            </w:r>
          </w:p>
        </w:tc>
        <w:tc>
          <w:tcPr>
            <w:tcW w:w="154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38AFA194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宋体" w:eastAsia="宋体" w:cs="Arial"/>
                <w:sz w:val="24"/>
              </w:rPr>
            </w:pPr>
            <w:r>
              <w:rPr>
                <w:rFonts w:hint="eastAsia" w:ascii="Times New Roman" w:hAnsi="宋体" w:eastAsia="宋体" w:cs="Arial"/>
                <w:sz w:val="24"/>
              </w:rPr>
              <w:t>课堂教学环节</w:t>
            </w:r>
          </w:p>
        </w:tc>
        <w:tc>
          <w:tcPr>
            <w:tcW w:w="72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44D6838E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宋体" w:eastAsia="宋体" w:cs="Arial"/>
                <w:sz w:val="24"/>
              </w:rPr>
            </w:pPr>
            <w:r>
              <w:rPr>
                <w:rFonts w:hint="eastAsia" w:ascii="Times New Roman" w:hAnsi="宋体" w:eastAsia="宋体" w:cs="Arial"/>
                <w:sz w:val="24"/>
              </w:rPr>
              <w:t>143</w:t>
            </w:r>
          </w:p>
        </w:tc>
        <w:tc>
          <w:tcPr>
            <w:tcW w:w="15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7481C1CA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宋体" w:eastAsia="宋体" w:cs="Arial"/>
                <w:sz w:val="24"/>
              </w:rPr>
            </w:pPr>
            <w:r>
              <w:rPr>
                <w:rFonts w:hint="eastAsia" w:ascii="Times New Roman" w:hAnsi="宋体" w:eastAsia="宋体" w:cs="Arial"/>
                <w:sz w:val="24"/>
              </w:rPr>
              <w:t>理论教学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0F44F1B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宋体" w:eastAsia="宋体" w:cs="Arial"/>
                <w:sz w:val="24"/>
              </w:rPr>
            </w:pPr>
            <w:r>
              <w:rPr>
                <w:rFonts w:hint="eastAsia" w:ascii="Times New Roman" w:hAnsi="宋体" w:eastAsia="宋体" w:cs="Arial"/>
                <w:sz w:val="24"/>
              </w:rPr>
              <w:t>133</w:t>
            </w:r>
          </w:p>
        </w:tc>
        <w:tc>
          <w:tcPr>
            <w:tcW w:w="140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78B87DE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宋体" w:eastAsia="宋体" w:cs="Arial"/>
                <w:sz w:val="24"/>
              </w:rPr>
            </w:pPr>
            <w:r>
              <w:rPr>
                <w:rFonts w:hint="eastAsia" w:ascii="Times New Roman" w:hAnsi="宋体" w:eastAsia="宋体" w:cs="Arial"/>
                <w:sz w:val="24"/>
              </w:rPr>
              <w:t>理论教学</w:t>
            </w:r>
          </w:p>
        </w:tc>
        <w:tc>
          <w:tcPr>
            <w:tcW w:w="14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 w14:paraId="2EE806F2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宋体" w:eastAsia="宋体" w:cs="Arial"/>
                <w:sz w:val="24"/>
              </w:rPr>
            </w:pPr>
            <w:r>
              <w:rPr>
                <w:rFonts w:hint="eastAsia" w:ascii="Times New Roman" w:hAnsi="宋体" w:eastAsia="宋体" w:cs="Arial"/>
                <w:sz w:val="24"/>
              </w:rPr>
              <w:t>78.23</w:t>
            </w:r>
          </w:p>
        </w:tc>
      </w:tr>
      <w:tr w14:paraId="166C97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" w:hRule="atLeast"/>
          <w:jc w:val="center"/>
        </w:trPr>
        <w:tc>
          <w:tcPr>
            <w:tcW w:w="1231" w:type="dxa"/>
            <w:vMerge w:val="continue"/>
            <w:tcBorders>
              <w:top w:val="single" w:color="000000" w:sz="8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6134B96C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宋体" w:eastAsia="宋体" w:cs="Arial"/>
                <w:sz w:val="24"/>
              </w:rPr>
            </w:pPr>
          </w:p>
        </w:tc>
        <w:tc>
          <w:tcPr>
            <w:tcW w:w="1548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EBA4591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宋体" w:eastAsia="宋体" w:cs="Arial"/>
                <w:sz w:val="24"/>
              </w:rPr>
            </w:pPr>
          </w:p>
        </w:tc>
        <w:tc>
          <w:tcPr>
            <w:tcW w:w="728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B0BA3A5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宋体" w:eastAsia="宋体" w:cs="Arial"/>
                <w:sz w:val="24"/>
              </w:rPr>
            </w:pPr>
          </w:p>
        </w:tc>
        <w:tc>
          <w:tcPr>
            <w:tcW w:w="15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891ADDB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宋体" w:eastAsia="宋体" w:cs="Arial"/>
                <w:sz w:val="24"/>
              </w:rPr>
            </w:pPr>
            <w:r>
              <w:rPr>
                <w:rFonts w:hint="eastAsia" w:ascii="Times New Roman" w:hAnsi="宋体" w:eastAsia="宋体" w:cs="Arial"/>
                <w:sz w:val="24"/>
              </w:rPr>
              <w:t>实验教学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7C79E3F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宋体" w:eastAsia="宋体" w:cs="Arial"/>
                <w:sz w:val="24"/>
              </w:rPr>
            </w:pPr>
            <w:r>
              <w:rPr>
                <w:rFonts w:hint="eastAsia" w:ascii="Times New Roman" w:hAnsi="宋体" w:eastAsia="宋体" w:cs="Arial"/>
                <w:sz w:val="24"/>
              </w:rPr>
              <w:t>10</w:t>
            </w:r>
          </w:p>
        </w:tc>
        <w:tc>
          <w:tcPr>
            <w:tcW w:w="1407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700EC21B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宋体" w:eastAsia="宋体" w:cs="Arial"/>
                <w:sz w:val="24"/>
              </w:rPr>
            </w:pPr>
            <w:r>
              <w:rPr>
                <w:rFonts w:hint="eastAsia" w:ascii="Times New Roman" w:hAnsi="宋体" w:eastAsia="宋体" w:cs="Arial"/>
                <w:sz w:val="24"/>
              </w:rPr>
              <w:t>实践教学</w:t>
            </w:r>
          </w:p>
        </w:tc>
        <w:tc>
          <w:tcPr>
            <w:tcW w:w="142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</w:tcBorders>
            <w:vAlign w:val="center"/>
          </w:tcPr>
          <w:p w14:paraId="0139833E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宋体" w:eastAsia="宋体" w:cs="Arial"/>
                <w:sz w:val="24"/>
              </w:rPr>
            </w:pPr>
            <w:r>
              <w:rPr>
                <w:rFonts w:hint="eastAsia" w:ascii="Times New Roman" w:hAnsi="宋体" w:eastAsia="宋体" w:cs="Arial"/>
                <w:sz w:val="24"/>
              </w:rPr>
              <w:t>21.77</w:t>
            </w:r>
          </w:p>
        </w:tc>
      </w:tr>
      <w:tr w14:paraId="514123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31" w:type="dxa"/>
            <w:vMerge w:val="continue"/>
            <w:tcBorders>
              <w:top w:val="single" w:color="000000" w:sz="8" w:space="0"/>
              <w:bottom w:val="single" w:color="000000" w:sz="12" w:space="0"/>
              <w:right w:val="single" w:color="000000" w:sz="6" w:space="0"/>
            </w:tcBorders>
            <w:vAlign w:val="center"/>
          </w:tcPr>
          <w:p w14:paraId="5F046E04">
            <w:pPr>
              <w:widowControl/>
              <w:spacing w:line="560" w:lineRule="exact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vAlign w:val="center"/>
          </w:tcPr>
          <w:p w14:paraId="47FD7970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宋体" w:eastAsia="宋体" w:cs="Arial"/>
                <w:sz w:val="24"/>
              </w:rPr>
            </w:pPr>
            <w:r>
              <w:rPr>
                <w:rFonts w:hint="eastAsia" w:ascii="Times New Roman" w:hAnsi="宋体" w:eastAsia="宋体" w:cs="Arial"/>
                <w:sz w:val="24"/>
              </w:rPr>
              <w:t>课外教学环节</w:t>
            </w:r>
          </w:p>
        </w:tc>
        <w:tc>
          <w:tcPr>
            <w:tcW w:w="728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vAlign w:val="center"/>
          </w:tcPr>
          <w:p w14:paraId="6228A815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宋体" w:eastAsia="宋体" w:cs="Arial"/>
                <w:sz w:val="24"/>
              </w:rPr>
            </w:pPr>
            <w:r>
              <w:rPr>
                <w:rFonts w:hint="eastAsia" w:ascii="Times New Roman" w:hAnsi="宋体" w:eastAsia="宋体" w:cs="Arial"/>
                <w:sz w:val="24"/>
              </w:rPr>
              <w:t>27</w:t>
            </w:r>
          </w:p>
        </w:tc>
        <w:tc>
          <w:tcPr>
            <w:tcW w:w="1538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vAlign w:val="center"/>
          </w:tcPr>
          <w:p w14:paraId="4CC52B22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宋体" w:eastAsia="宋体" w:cs="Arial"/>
                <w:sz w:val="24"/>
              </w:rPr>
            </w:pPr>
            <w:r>
              <w:rPr>
                <w:rFonts w:hint="eastAsia" w:ascii="Times New Roman" w:hAnsi="宋体" w:eastAsia="宋体" w:cs="Arial"/>
                <w:sz w:val="24"/>
              </w:rPr>
              <w:t>实习、军训等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vAlign w:val="center"/>
          </w:tcPr>
          <w:p w14:paraId="43149AB5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宋体" w:eastAsia="宋体" w:cs="Arial"/>
                <w:sz w:val="24"/>
              </w:rPr>
            </w:pPr>
            <w:r>
              <w:rPr>
                <w:rFonts w:hint="eastAsia" w:ascii="Times New Roman" w:hAnsi="宋体" w:eastAsia="宋体" w:cs="Arial"/>
                <w:sz w:val="24"/>
              </w:rPr>
              <w:t>27</w:t>
            </w:r>
          </w:p>
        </w:tc>
        <w:tc>
          <w:tcPr>
            <w:tcW w:w="1407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vAlign w:val="center"/>
          </w:tcPr>
          <w:p w14:paraId="087FE60D">
            <w:pPr>
              <w:widowControl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428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12" w:space="0"/>
            </w:tcBorders>
            <w:vAlign w:val="center"/>
          </w:tcPr>
          <w:p w14:paraId="2DA94176">
            <w:pPr>
              <w:widowControl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</w:tbl>
    <w:p w14:paraId="4AF46690">
      <w:pPr>
        <w:pStyle w:val="15"/>
        <w:tabs>
          <w:tab w:val="left" w:pos="1380"/>
        </w:tabs>
        <w:spacing w:before="0" w:beforeAutospacing="0" w:after="0" w:afterAutospacing="0" w:line="360" w:lineRule="auto"/>
        <w:rPr>
          <w:rFonts w:ascii="Times New Roman" w:cs="Arial"/>
          <w:kern w:val="2"/>
        </w:rPr>
      </w:pPr>
    </w:p>
    <w:p w14:paraId="1D0F8C7D">
      <w:pPr>
        <w:pStyle w:val="32"/>
        <w:widowControl/>
        <w:spacing w:line="360" w:lineRule="auto"/>
        <w:ind w:left="0"/>
        <w:jc w:val="center"/>
        <w:rPr>
          <w:rFonts w:ascii="Times New Roman" w:hAnsi="宋体" w:eastAsia="宋体" w:cs="Arial"/>
          <w:b/>
          <w:bCs/>
          <w:sz w:val="24"/>
        </w:rPr>
      </w:pPr>
      <w:r>
        <w:rPr>
          <w:rFonts w:hint="eastAsia" w:ascii="Times New Roman" w:hAnsi="宋体" w:eastAsia="宋体" w:cs="Arial"/>
          <w:b/>
          <w:bCs/>
          <w:sz w:val="24"/>
        </w:rPr>
        <w:t>课堂教学学分分配表</w:t>
      </w:r>
    </w:p>
    <w:tbl>
      <w:tblPr>
        <w:tblStyle w:val="17"/>
        <w:tblW w:w="8165" w:type="dxa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5"/>
        <w:gridCol w:w="2762"/>
        <w:gridCol w:w="1592"/>
        <w:gridCol w:w="1696"/>
      </w:tblGrid>
      <w:tr w14:paraId="02BBECC2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15" w:type="dxa"/>
          </w:tcPr>
          <w:p w14:paraId="788D59A5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宋体" w:eastAsia="宋体" w:cs="Arial"/>
                <w:sz w:val="24"/>
              </w:rPr>
            </w:pPr>
            <w:r>
              <w:rPr>
                <w:rFonts w:hint="eastAsia" w:ascii="Times New Roman" w:hAnsi="宋体" w:eastAsia="宋体" w:cs="Arial"/>
                <w:sz w:val="24"/>
              </w:rPr>
              <w:t>教学环节</w:t>
            </w:r>
          </w:p>
        </w:tc>
        <w:tc>
          <w:tcPr>
            <w:tcW w:w="2762" w:type="dxa"/>
          </w:tcPr>
          <w:p w14:paraId="61B4FEA8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宋体" w:eastAsia="宋体" w:cs="Arial"/>
                <w:sz w:val="24"/>
              </w:rPr>
            </w:pPr>
            <w:r>
              <w:rPr>
                <w:rFonts w:hint="eastAsia" w:ascii="Times New Roman" w:hAnsi="宋体" w:eastAsia="宋体" w:cs="Arial"/>
                <w:sz w:val="24"/>
              </w:rPr>
              <w:t>课程类别</w:t>
            </w:r>
          </w:p>
        </w:tc>
        <w:tc>
          <w:tcPr>
            <w:tcW w:w="1592" w:type="dxa"/>
          </w:tcPr>
          <w:p w14:paraId="779A6CA3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宋体" w:eastAsia="宋体" w:cs="Arial"/>
                <w:sz w:val="24"/>
              </w:rPr>
            </w:pPr>
            <w:r>
              <w:rPr>
                <w:rFonts w:hint="eastAsia" w:ascii="Times New Roman" w:hAnsi="宋体" w:eastAsia="宋体" w:cs="Arial"/>
                <w:sz w:val="24"/>
              </w:rPr>
              <w:t>门数</w:t>
            </w:r>
          </w:p>
        </w:tc>
        <w:tc>
          <w:tcPr>
            <w:tcW w:w="1696" w:type="dxa"/>
          </w:tcPr>
          <w:p w14:paraId="7A46A1D9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宋体" w:eastAsia="宋体" w:cs="Arial"/>
                <w:sz w:val="24"/>
              </w:rPr>
            </w:pPr>
            <w:r>
              <w:rPr>
                <w:rFonts w:hint="eastAsia" w:ascii="Times New Roman" w:hAnsi="宋体" w:eastAsia="宋体" w:cs="Arial"/>
                <w:sz w:val="24"/>
              </w:rPr>
              <w:t>学分</w:t>
            </w:r>
          </w:p>
        </w:tc>
      </w:tr>
      <w:tr w14:paraId="03EC779B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15" w:type="dxa"/>
            <w:vMerge w:val="restart"/>
            <w:vAlign w:val="center"/>
          </w:tcPr>
          <w:p w14:paraId="7E7689BE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宋体" w:eastAsia="宋体" w:cs="Arial"/>
                <w:sz w:val="24"/>
              </w:rPr>
            </w:pPr>
            <w:r>
              <w:rPr>
                <w:rFonts w:hint="eastAsia" w:ascii="Times New Roman" w:hAnsi="宋体" w:eastAsia="宋体" w:cs="Arial"/>
                <w:sz w:val="24"/>
              </w:rPr>
              <w:t>通识教育</w:t>
            </w:r>
          </w:p>
        </w:tc>
        <w:tc>
          <w:tcPr>
            <w:tcW w:w="2762" w:type="dxa"/>
          </w:tcPr>
          <w:p w14:paraId="248F31DE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宋体" w:eastAsia="宋体" w:cs="Arial"/>
                <w:sz w:val="24"/>
              </w:rPr>
            </w:pPr>
            <w:r>
              <w:rPr>
                <w:rFonts w:hint="eastAsia" w:ascii="Times New Roman" w:hAnsi="宋体" w:eastAsia="宋体" w:cs="Arial"/>
                <w:sz w:val="24"/>
              </w:rPr>
              <w:t>通识教育必修课</w:t>
            </w:r>
          </w:p>
        </w:tc>
        <w:tc>
          <w:tcPr>
            <w:tcW w:w="1592" w:type="dxa"/>
          </w:tcPr>
          <w:p w14:paraId="2478D529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宋体" w:eastAsia="宋体" w:cs="Arial"/>
                <w:sz w:val="24"/>
              </w:rPr>
            </w:pPr>
            <w:r>
              <w:rPr>
                <w:rFonts w:hint="eastAsia" w:ascii="Times New Roman" w:hAnsi="宋体" w:eastAsia="宋体" w:cs="Arial"/>
                <w:sz w:val="24"/>
              </w:rPr>
              <w:t>23</w:t>
            </w:r>
          </w:p>
        </w:tc>
        <w:tc>
          <w:tcPr>
            <w:tcW w:w="1696" w:type="dxa"/>
          </w:tcPr>
          <w:p w14:paraId="4A96529F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宋体" w:eastAsia="宋体" w:cs="Arial"/>
                <w:sz w:val="24"/>
              </w:rPr>
            </w:pPr>
            <w:r>
              <w:rPr>
                <w:rFonts w:hint="eastAsia" w:ascii="Times New Roman" w:hAnsi="宋体" w:eastAsia="宋体" w:cs="Arial"/>
                <w:sz w:val="24"/>
              </w:rPr>
              <w:t>52</w:t>
            </w:r>
          </w:p>
        </w:tc>
      </w:tr>
      <w:tr w14:paraId="0BC7C6A7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15" w:type="dxa"/>
            <w:vMerge w:val="continue"/>
            <w:vAlign w:val="center"/>
          </w:tcPr>
          <w:p w14:paraId="21B5209F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宋体" w:eastAsia="宋体" w:cs="Arial"/>
                <w:sz w:val="24"/>
              </w:rPr>
            </w:pPr>
          </w:p>
        </w:tc>
        <w:tc>
          <w:tcPr>
            <w:tcW w:w="2762" w:type="dxa"/>
          </w:tcPr>
          <w:p w14:paraId="3CB126CA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宋体" w:eastAsia="宋体" w:cs="Arial"/>
                <w:sz w:val="24"/>
              </w:rPr>
            </w:pPr>
            <w:r>
              <w:rPr>
                <w:rFonts w:hint="eastAsia" w:ascii="Times New Roman" w:hAnsi="宋体" w:eastAsia="宋体" w:cs="Arial"/>
                <w:sz w:val="24"/>
              </w:rPr>
              <w:t>通识教育选修课</w:t>
            </w:r>
          </w:p>
        </w:tc>
        <w:tc>
          <w:tcPr>
            <w:tcW w:w="1592" w:type="dxa"/>
          </w:tcPr>
          <w:p w14:paraId="7329E19B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宋体" w:eastAsia="宋体" w:cs="Arial"/>
                <w:sz w:val="24"/>
              </w:rPr>
            </w:pPr>
            <w:r>
              <w:rPr>
                <w:rFonts w:hint="eastAsia" w:ascii="Times New Roman" w:hAnsi="宋体" w:eastAsia="宋体" w:cs="Arial"/>
                <w:sz w:val="24"/>
              </w:rPr>
              <w:t>-</w:t>
            </w:r>
          </w:p>
        </w:tc>
        <w:tc>
          <w:tcPr>
            <w:tcW w:w="1696" w:type="dxa"/>
          </w:tcPr>
          <w:p w14:paraId="28C0E96D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宋体" w:eastAsia="宋体" w:cs="Arial"/>
                <w:sz w:val="24"/>
              </w:rPr>
            </w:pPr>
            <w:r>
              <w:rPr>
                <w:rFonts w:hint="eastAsia" w:ascii="Times New Roman" w:hAnsi="宋体" w:eastAsia="宋体" w:cs="Arial"/>
                <w:sz w:val="24"/>
              </w:rPr>
              <w:t>10</w:t>
            </w:r>
          </w:p>
        </w:tc>
      </w:tr>
      <w:tr w14:paraId="4FFDC9E8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15" w:type="dxa"/>
            <w:vMerge w:val="restart"/>
            <w:vAlign w:val="center"/>
          </w:tcPr>
          <w:p w14:paraId="0A1CB629">
            <w:pPr>
              <w:tabs>
                <w:tab w:val="center" w:pos="832"/>
              </w:tabs>
              <w:adjustRightInd w:val="0"/>
              <w:snapToGrid w:val="0"/>
              <w:spacing w:line="360" w:lineRule="exact"/>
              <w:jc w:val="center"/>
              <w:rPr>
                <w:rFonts w:ascii="Times New Roman" w:hAnsi="宋体" w:eastAsia="宋体" w:cs="Arial"/>
                <w:sz w:val="24"/>
              </w:rPr>
            </w:pPr>
            <w:r>
              <w:rPr>
                <w:rFonts w:hint="eastAsia" w:ascii="Times New Roman" w:hAnsi="宋体" w:eastAsia="宋体" w:cs="Arial"/>
                <w:sz w:val="24"/>
              </w:rPr>
              <w:t>专业教育</w:t>
            </w:r>
          </w:p>
        </w:tc>
        <w:tc>
          <w:tcPr>
            <w:tcW w:w="2762" w:type="dxa"/>
          </w:tcPr>
          <w:p w14:paraId="0A84ECEF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宋体" w:eastAsia="宋体" w:cs="Arial"/>
                <w:sz w:val="24"/>
              </w:rPr>
            </w:pPr>
            <w:r>
              <w:rPr>
                <w:rFonts w:hint="eastAsia" w:ascii="Times New Roman" w:hAnsi="宋体" w:eastAsia="宋体" w:cs="Arial"/>
                <w:sz w:val="24"/>
              </w:rPr>
              <w:t>专业必修课</w:t>
            </w:r>
          </w:p>
        </w:tc>
        <w:tc>
          <w:tcPr>
            <w:tcW w:w="1592" w:type="dxa"/>
          </w:tcPr>
          <w:p w14:paraId="28823C7B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宋体" w:eastAsia="宋体" w:cs="Arial"/>
                <w:sz w:val="24"/>
              </w:rPr>
            </w:pPr>
            <w:r>
              <w:rPr>
                <w:rFonts w:hint="eastAsia" w:ascii="Times New Roman" w:hAnsi="宋体" w:eastAsia="宋体" w:cs="Arial"/>
                <w:sz w:val="24"/>
              </w:rPr>
              <w:t>13</w:t>
            </w:r>
          </w:p>
        </w:tc>
        <w:tc>
          <w:tcPr>
            <w:tcW w:w="1696" w:type="dxa"/>
          </w:tcPr>
          <w:p w14:paraId="2757023E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宋体" w:eastAsia="宋体" w:cs="Arial"/>
                <w:sz w:val="24"/>
              </w:rPr>
            </w:pPr>
            <w:r>
              <w:rPr>
                <w:rFonts w:hint="eastAsia" w:ascii="Times New Roman" w:hAnsi="宋体" w:eastAsia="宋体" w:cs="Arial"/>
                <w:sz w:val="24"/>
              </w:rPr>
              <w:t>35</w:t>
            </w:r>
          </w:p>
        </w:tc>
      </w:tr>
      <w:tr w14:paraId="65D7C3A4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15" w:type="dxa"/>
            <w:vMerge w:val="continue"/>
          </w:tcPr>
          <w:p w14:paraId="5637AAC3">
            <w:pPr>
              <w:adjustRightInd w:val="0"/>
              <w:snapToGrid w:val="0"/>
              <w:spacing w:line="360" w:lineRule="exact"/>
              <w:rPr>
                <w:rFonts w:ascii="Times New Roman" w:hAnsi="宋体" w:eastAsia="宋体" w:cs="Arial"/>
                <w:sz w:val="24"/>
              </w:rPr>
            </w:pPr>
          </w:p>
        </w:tc>
        <w:tc>
          <w:tcPr>
            <w:tcW w:w="2762" w:type="dxa"/>
          </w:tcPr>
          <w:p w14:paraId="309EE0BE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宋体" w:eastAsia="宋体" w:cs="Arial"/>
                <w:sz w:val="24"/>
              </w:rPr>
            </w:pPr>
            <w:r>
              <w:rPr>
                <w:rFonts w:hint="eastAsia" w:ascii="Times New Roman" w:hAnsi="宋体" w:eastAsia="宋体" w:cs="Arial"/>
                <w:sz w:val="24"/>
              </w:rPr>
              <w:t>专业选修课</w:t>
            </w:r>
          </w:p>
        </w:tc>
        <w:tc>
          <w:tcPr>
            <w:tcW w:w="1592" w:type="dxa"/>
          </w:tcPr>
          <w:p w14:paraId="5A20B40F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宋体" w:eastAsia="宋体" w:cs="Arial"/>
                <w:sz w:val="24"/>
              </w:rPr>
            </w:pPr>
            <w:r>
              <w:rPr>
                <w:rFonts w:hint="eastAsia" w:ascii="Times New Roman" w:hAnsi="宋体" w:eastAsia="宋体" w:cs="Arial"/>
                <w:sz w:val="24"/>
              </w:rPr>
              <w:t>-</w:t>
            </w:r>
          </w:p>
        </w:tc>
        <w:tc>
          <w:tcPr>
            <w:tcW w:w="1696" w:type="dxa"/>
          </w:tcPr>
          <w:p w14:paraId="33A897E4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宋体" w:eastAsia="宋体" w:cs="Arial"/>
                <w:sz w:val="24"/>
              </w:rPr>
            </w:pPr>
            <w:r>
              <w:rPr>
                <w:rFonts w:hint="eastAsia" w:ascii="Times New Roman" w:hAnsi="宋体" w:eastAsia="宋体" w:cs="Arial"/>
                <w:sz w:val="24"/>
              </w:rPr>
              <w:t>≥46</w:t>
            </w:r>
          </w:p>
        </w:tc>
      </w:tr>
      <w:tr w14:paraId="5A4BDB4E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15" w:type="dxa"/>
          </w:tcPr>
          <w:p w14:paraId="2179652A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宋体" w:eastAsia="宋体" w:cs="Arial"/>
                <w:sz w:val="24"/>
              </w:rPr>
            </w:pPr>
            <w:r>
              <w:rPr>
                <w:rFonts w:hint="eastAsia" w:ascii="Times New Roman" w:hAnsi="宋体" w:eastAsia="宋体" w:cs="Arial"/>
                <w:sz w:val="24"/>
              </w:rPr>
              <w:t>合计</w:t>
            </w:r>
          </w:p>
        </w:tc>
        <w:tc>
          <w:tcPr>
            <w:tcW w:w="2762" w:type="dxa"/>
          </w:tcPr>
          <w:p w14:paraId="492AB607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宋体" w:eastAsia="宋体" w:cs="Arial"/>
                <w:sz w:val="24"/>
              </w:rPr>
            </w:pPr>
          </w:p>
        </w:tc>
        <w:tc>
          <w:tcPr>
            <w:tcW w:w="1592" w:type="dxa"/>
          </w:tcPr>
          <w:p w14:paraId="0696061C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宋体" w:eastAsia="宋体" w:cs="Arial"/>
                <w:sz w:val="24"/>
              </w:rPr>
            </w:pPr>
            <w:r>
              <w:rPr>
                <w:rFonts w:hint="eastAsia" w:ascii="Times New Roman" w:hAnsi="宋体" w:eastAsia="宋体" w:cs="Arial"/>
                <w:sz w:val="24"/>
              </w:rPr>
              <w:t>-</w:t>
            </w:r>
          </w:p>
        </w:tc>
        <w:tc>
          <w:tcPr>
            <w:tcW w:w="1696" w:type="dxa"/>
          </w:tcPr>
          <w:p w14:paraId="4475124D">
            <w:pPr>
              <w:adjustRightInd w:val="0"/>
              <w:snapToGrid w:val="0"/>
              <w:spacing w:line="360" w:lineRule="exact"/>
              <w:jc w:val="center"/>
              <w:rPr>
                <w:rFonts w:ascii="Times New Roman" w:hAnsi="宋体" w:eastAsia="宋体" w:cs="Arial"/>
                <w:sz w:val="24"/>
              </w:rPr>
            </w:pPr>
            <w:r>
              <w:rPr>
                <w:rFonts w:hint="eastAsia" w:ascii="Times New Roman" w:hAnsi="宋体" w:eastAsia="宋体" w:cs="Arial"/>
                <w:sz w:val="24"/>
              </w:rPr>
              <w:t>143</w:t>
            </w:r>
          </w:p>
        </w:tc>
      </w:tr>
    </w:tbl>
    <w:p w14:paraId="2B29162E">
      <w:pPr>
        <w:pStyle w:val="32"/>
        <w:widowControl/>
        <w:numPr>
          <w:ilvl w:val="0"/>
          <w:numId w:val="1"/>
        </w:numPr>
        <w:spacing w:line="360" w:lineRule="auto"/>
        <w:jc w:val="center"/>
        <w:rPr>
          <w:rFonts w:ascii="Times New Roman" w:hAnsi="宋体" w:eastAsia="宋体" w:cs="Arial"/>
          <w:sz w:val="24"/>
        </w:rPr>
      </w:pPr>
    </w:p>
    <w:p w14:paraId="6244AA31">
      <w:pPr>
        <w:pStyle w:val="32"/>
        <w:widowControl/>
        <w:numPr>
          <w:ilvl w:val="0"/>
          <w:numId w:val="1"/>
        </w:numPr>
        <w:spacing w:line="360" w:lineRule="auto"/>
        <w:jc w:val="center"/>
        <w:rPr>
          <w:rFonts w:ascii="宋体" w:hAnsi="宋体" w:eastAsia="宋体" w:cs="宋体"/>
          <w:b/>
          <w:bCs/>
          <w:kern w:val="0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32"/>
        </w:rPr>
        <w:t>实践教学环节一览表</w:t>
      </w:r>
    </w:p>
    <w:tbl>
      <w:tblPr>
        <w:tblStyle w:val="17"/>
        <w:tblW w:w="0" w:type="auto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81"/>
        <w:gridCol w:w="3027"/>
        <w:gridCol w:w="1413"/>
        <w:gridCol w:w="1254"/>
      </w:tblGrid>
      <w:tr w14:paraId="7C6E0775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tcBorders>
              <w:bottom w:val="single" w:color="auto" w:sz="4" w:space="0"/>
            </w:tcBorders>
          </w:tcPr>
          <w:p w14:paraId="7F41FE9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类别</w:t>
            </w:r>
          </w:p>
        </w:tc>
        <w:tc>
          <w:tcPr>
            <w:tcW w:w="3027" w:type="dxa"/>
            <w:tcBorders>
              <w:bottom w:val="single" w:color="auto" w:sz="4" w:space="0"/>
            </w:tcBorders>
          </w:tcPr>
          <w:p w14:paraId="21D0595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实践环节</w:t>
            </w:r>
          </w:p>
        </w:tc>
        <w:tc>
          <w:tcPr>
            <w:tcW w:w="1413" w:type="dxa"/>
            <w:tcBorders>
              <w:bottom w:val="single" w:color="auto" w:sz="4" w:space="0"/>
            </w:tcBorders>
          </w:tcPr>
          <w:p w14:paraId="510150A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学期安排</w:t>
            </w:r>
          </w:p>
        </w:tc>
        <w:tc>
          <w:tcPr>
            <w:tcW w:w="1254" w:type="dxa"/>
            <w:tcBorders>
              <w:bottom w:val="single" w:color="auto" w:sz="4" w:space="0"/>
            </w:tcBorders>
          </w:tcPr>
          <w:p w14:paraId="3A80DB6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学分</w:t>
            </w:r>
          </w:p>
        </w:tc>
      </w:tr>
      <w:tr w14:paraId="2462492A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restart"/>
            <w:tcBorders>
              <w:top w:val="single" w:color="auto" w:sz="4" w:space="0"/>
            </w:tcBorders>
            <w:vAlign w:val="center"/>
          </w:tcPr>
          <w:p w14:paraId="24211C2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实习类</w:t>
            </w:r>
          </w:p>
        </w:tc>
        <w:tc>
          <w:tcPr>
            <w:tcW w:w="3027" w:type="dxa"/>
            <w:tcBorders>
              <w:top w:val="single" w:color="auto" w:sz="4" w:space="0"/>
            </w:tcBorders>
          </w:tcPr>
          <w:p w14:paraId="2542A9D0">
            <w:pPr>
              <w:adjustRightInd w:val="0"/>
              <w:snapToGrid w:val="0"/>
              <w:spacing w:line="360" w:lineRule="exac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军事技能</w:t>
            </w:r>
          </w:p>
        </w:tc>
        <w:tc>
          <w:tcPr>
            <w:tcW w:w="1413" w:type="dxa"/>
            <w:tcBorders>
              <w:top w:val="single" w:color="auto" w:sz="4" w:space="0"/>
            </w:tcBorders>
          </w:tcPr>
          <w:p w14:paraId="097964A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</w:p>
        </w:tc>
        <w:tc>
          <w:tcPr>
            <w:tcW w:w="1254" w:type="dxa"/>
            <w:tcBorders>
              <w:top w:val="single" w:color="auto" w:sz="4" w:space="0"/>
            </w:tcBorders>
          </w:tcPr>
          <w:p w14:paraId="11166D0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</w:t>
            </w:r>
          </w:p>
        </w:tc>
      </w:tr>
      <w:tr w14:paraId="3784ADC7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699DA7F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6042D660">
            <w:pPr>
              <w:adjustRightInd w:val="0"/>
              <w:snapToGrid w:val="0"/>
              <w:spacing w:line="360" w:lineRule="exac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认知实习</w:t>
            </w:r>
          </w:p>
        </w:tc>
        <w:tc>
          <w:tcPr>
            <w:tcW w:w="1413" w:type="dxa"/>
            <w:vAlign w:val="center"/>
          </w:tcPr>
          <w:p w14:paraId="7F26FA9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254" w:type="dxa"/>
          </w:tcPr>
          <w:p w14:paraId="1567506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</w:t>
            </w:r>
          </w:p>
        </w:tc>
      </w:tr>
      <w:tr w14:paraId="522B2756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780B78C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027" w:type="dxa"/>
          </w:tcPr>
          <w:p w14:paraId="6B24F05C">
            <w:pPr>
              <w:adjustRightInd w:val="0"/>
              <w:snapToGrid w:val="0"/>
              <w:spacing w:line="360" w:lineRule="exac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专业实习</w:t>
            </w:r>
          </w:p>
        </w:tc>
        <w:tc>
          <w:tcPr>
            <w:tcW w:w="1413" w:type="dxa"/>
            <w:vAlign w:val="center"/>
          </w:tcPr>
          <w:p w14:paraId="0325EEB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254" w:type="dxa"/>
          </w:tcPr>
          <w:p w14:paraId="614293C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</w:t>
            </w:r>
          </w:p>
        </w:tc>
      </w:tr>
      <w:tr w14:paraId="631C6F44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5C90DF0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027" w:type="dxa"/>
          </w:tcPr>
          <w:p w14:paraId="3CC86EF3">
            <w:pPr>
              <w:adjustRightInd w:val="0"/>
              <w:snapToGrid w:val="0"/>
              <w:spacing w:line="360" w:lineRule="exac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毕业实习</w:t>
            </w:r>
          </w:p>
        </w:tc>
        <w:tc>
          <w:tcPr>
            <w:tcW w:w="1413" w:type="dxa"/>
            <w:vAlign w:val="center"/>
          </w:tcPr>
          <w:p w14:paraId="7055399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254" w:type="dxa"/>
          </w:tcPr>
          <w:p w14:paraId="108F437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</w:t>
            </w:r>
          </w:p>
        </w:tc>
      </w:tr>
      <w:tr w14:paraId="75D5D350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54E57CA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027" w:type="dxa"/>
          </w:tcPr>
          <w:p w14:paraId="02EB5980">
            <w:pPr>
              <w:adjustRightInd w:val="0"/>
              <w:snapToGrid w:val="0"/>
              <w:spacing w:line="360" w:lineRule="exac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毕业设计（论文）</w:t>
            </w:r>
          </w:p>
        </w:tc>
        <w:tc>
          <w:tcPr>
            <w:tcW w:w="1413" w:type="dxa"/>
            <w:vAlign w:val="center"/>
          </w:tcPr>
          <w:p w14:paraId="19D546A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254" w:type="dxa"/>
          </w:tcPr>
          <w:p w14:paraId="2603AB7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</w:t>
            </w:r>
          </w:p>
        </w:tc>
      </w:tr>
      <w:tr w14:paraId="65D8FEDC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restart"/>
            <w:vAlign w:val="center"/>
          </w:tcPr>
          <w:p w14:paraId="27189129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素质提升类</w:t>
            </w:r>
          </w:p>
        </w:tc>
        <w:tc>
          <w:tcPr>
            <w:tcW w:w="3027" w:type="dxa"/>
          </w:tcPr>
          <w:p w14:paraId="7485975A">
            <w:pPr>
              <w:adjustRightInd w:val="0"/>
              <w:snapToGrid w:val="0"/>
              <w:spacing w:line="360" w:lineRule="exac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创新学分</w:t>
            </w:r>
          </w:p>
        </w:tc>
        <w:tc>
          <w:tcPr>
            <w:tcW w:w="1413" w:type="dxa"/>
          </w:tcPr>
          <w:p w14:paraId="440C402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254" w:type="dxa"/>
            <w:vAlign w:val="center"/>
          </w:tcPr>
          <w:p w14:paraId="2505AD6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</w:t>
            </w:r>
          </w:p>
        </w:tc>
      </w:tr>
      <w:tr w14:paraId="0AD69CE8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50B62699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027" w:type="dxa"/>
          </w:tcPr>
          <w:p w14:paraId="76F38BE7">
            <w:pPr>
              <w:adjustRightInd w:val="0"/>
              <w:snapToGrid w:val="0"/>
              <w:spacing w:line="360" w:lineRule="exac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第二课堂</w:t>
            </w:r>
          </w:p>
        </w:tc>
        <w:tc>
          <w:tcPr>
            <w:tcW w:w="1413" w:type="dxa"/>
          </w:tcPr>
          <w:p w14:paraId="784B125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254" w:type="dxa"/>
          </w:tcPr>
          <w:p w14:paraId="730B12A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</w:t>
            </w:r>
          </w:p>
        </w:tc>
      </w:tr>
      <w:tr w14:paraId="7DE0B773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664E31D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027" w:type="dxa"/>
          </w:tcPr>
          <w:p w14:paraId="60DB02D5">
            <w:pPr>
              <w:adjustRightInd w:val="0"/>
              <w:snapToGrid w:val="0"/>
              <w:spacing w:line="360" w:lineRule="exac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劳动类实践课程</w:t>
            </w:r>
          </w:p>
        </w:tc>
        <w:tc>
          <w:tcPr>
            <w:tcW w:w="1413" w:type="dxa"/>
          </w:tcPr>
          <w:p w14:paraId="4D089DA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6</w:t>
            </w:r>
          </w:p>
        </w:tc>
        <w:tc>
          <w:tcPr>
            <w:tcW w:w="1254" w:type="dxa"/>
          </w:tcPr>
          <w:p w14:paraId="5E946482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</w:t>
            </w:r>
          </w:p>
        </w:tc>
      </w:tr>
      <w:tr w14:paraId="7059C442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30EAAA0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027" w:type="dxa"/>
          </w:tcPr>
          <w:p w14:paraId="35894361">
            <w:pPr>
              <w:adjustRightInd w:val="0"/>
              <w:snapToGrid w:val="0"/>
              <w:spacing w:line="360" w:lineRule="exac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人工智能导论</w:t>
            </w:r>
          </w:p>
        </w:tc>
        <w:tc>
          <w:tcPr>
            <w:tcW w:w="1413" w:type="dxa"/>
          </w:tcPr>
          <w:p w14:paraId="6DEAB79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</w:p>
        </w:tc>
        <w:tc>
          <w:tcPr>
            <w:tcW w:w="1254" w:type="dxa"/>
          </w:tcPr>
          <w:p w14:paraId="6092873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0.5</w:t>
            </w:r>
          </w:p>
        </w:tc>
      </w:tr>
      <w:tr w14:paraId="26FE957E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restart"/>
            <w:vAlign w:val="center"/>
          </w:tcPr>
          <w:p w14:paraId="3ECB072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思想政治类</w:t>
            </w:r>
          </w:p>
        </w:tc>
        <w:tc>
          <w:tcPr>
            <w:tcW w:w="3027" w:type="dxa"/>
          </w:tcPr>
          <w:p w14:paraId="0DDEEBBE">
            <w:pPr>
              <w:adjustRightInd w:val="0"/>
              <w:snapToGrid w:val="0"/>
              <w:spacing w:line="360" w:lineRule="exac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大学生心理健康社会实践</w:t>
            </w:r>
          </w:p>
        </w:tc>
        <w:tc>
          <w:tcPr>
            <w:tcW w:w="1413" w:type="dxa"/>
          </w:tcPr>
          <w:p w14:paraId="3C0699D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</w:t>
            </w:r>
          </w:p>
        </w:tc>
        <w:tc>
          <w:tcPr>
            <w:tcW w:w="1254" w:type="dxa"/>
          </w:tcPr>
          <w:p w14:paraId="6447867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</w:p>
        </w:tc>
      </w:tr>
      <w:tr w14:paraId="0C382339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vAlign w:val="center"/>
          </w:tcPr>
          <w:p w14:paraId="0FB9CBD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027" w:type="dxa"/>
          </w:tcPr>
          <w:p w14:paraId="65CD61AD">
            <w:pPr>
              <w:adjustRightInd w:val="0"/>
              <w:snapToGrid w:val="0"/>
              <w:spacing w:line="360" w:lineRule="exac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习近平新时代中国特色社会主义思想概论社会实践</w:t>
            </w:r>
          </w:p>
        </w:tc>
        <w:tc>
          <w:tcPr>
            <w:tcW w:w="1413" w:type="dxa"/>
          </w:tcPr>
          <w:p w14:paraId="132905A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</w:t>
            </w:r>
          </w:p>
        </w:tc>
        <w:tc>
          <w:tcPr>
            <w:tcW w:w="1254" w:type="dxa"/>
          </w:tcPr>
          <w:p w14:paraId="27CA054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</w:p>
        </w:tc>
      </w:tr>
      <w:tr w14:paraId="3C085AD8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vAlign w:val="center"/>
          </w:tcPr>
          <w:p w14:paraId="60ABF34F">
            <w:pPr>
              <w:adjustRightInd w:val="0"/>
              <w:snapToGrid w:val="0"/>
              <w:spacing w:line="360" w:lineRule="exac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027" w:type="dxa"/>
          </w:tcPr>
          <w:p w14:paraId="3FA200FB">
            <w:pPr>
              <w:adjustRightInd w:val="0"/>
              <w:snapToGrid w:val="0"/>
              <w:spacing w:line="360" w:lineRule="exac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思想道德与法治社会实践</w:t>
            </w:r>
          </w:p>
        </w:tc>
        <w:tc>
          <w:tcPr>
            <w:tcW w:w="1413" w:type="dxa"/>
          </w:tcPr>
          <w:p w14:paraId="450C6A82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</w:p>
        </w:tc>
        <w:tc>
          <w:tcPr>
            <w:tcW w:w="1254" w:type="dxa"/>
          </w:tcPr>
          <w:p w14:paraId="085EE87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</w:p>
        </w:tc>
      </w:tr>
      <w:tr w14:paraId="5E76FCBD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2791ECDB">
            <w:pPr>
              <w:adjustRightInd w:val="0"/>
              <w:snapToGrid w:val="0"/>
              <w:spacing w:line="360" w:lineRule="exac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243865FA">
            <w:pPr>
              <w:adjustRightInd w:val="0"/>
              <w:snapToGrid w:val="0"/>
              <w:spacing w:line="360" w:lineRule="exac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毛泽东思想与中国特色社会主义理论体系概论社会实践</w:t>
            </w:r>
          </w:p>
        </w:tc>
        <w:tc>
          <w:tcPr>
            <w:tcW w:w="1413" w:type="dxa"/>
          </w:tcPr>
          <w:p w14:paraId="22ACE83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</w:t>
            </w:r>
          </w:p>
        </w:tc>
        <w:tc>
          <w:tcPr>
            <w:tcW w:w="1254" w:type="dxa"/>
            <w:vAlign w:val="center"/>
          </w:tcPr>
          <w:p w14:paraId="5E542E09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</w:p>
        </w:tc>
      </w:tr>
      <w:tr w14:paraId="4A52CD6A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15CAC6F7">
            <w:pPr>
              <w:adjustRightInd w:val="0"/>
              <w:snapToGrid w:val="0"/>
              <w:spacing w:line="360" w:lineRule="exac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1F3F9F37">
            <w:pPr>
              <w:adjustRightInd w:val="0"/>
              <w:snapToGrid w:val="0"/>
              <w:spacing w:line="360" w:lineRule="exac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中国近现代史纲要社会实践</w:t>
            </w:r>
          </w:p>
        </w:tc>
        <w:tc>
          <w:tcPr>
            <w:tcW w:w="1413" w:type="dxa"/>
          </w:tcPr>
          <w:p w14:paraId="66CBBE4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</w:t>
            </w:r>
          </w:p>
        </w:tc>
        <w:tc>
          <w:tcPr>
            <w:tcW w:w="1254" w:type="dxa"/>
            <w:vAlign w:val="center"/>
          </w:tcPr>
          <w:p w14:paraId="314F4D3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</w:p>
        </w:tc>
      </w:tr>
      <w:tr w14:paraId="05DB92EF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659F3472">
            <w:pPr>
              <w:adjustRightInd w:val="0"/>
              <w:snapToGrid w:val="0"/>
              <w:spacing w:line="360" w:lineRule="exac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27ABEA8F">
            <w:pPr>
              <w:adjustRightInd w:val="0"/>
              <w:snapToGrid w:val="0"/>
              <w:spacing w:line="360" w:lineRule="exac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马克思主义基本原理社会实践</w:t>
            </w:r>
          </w:p>
        </w:tc>
        <w:tc>
          <w:tcPr>
            <w:tcW w:w="1413" w:type="dxa"/>
          </w:tcPr>
          <w:p w14:paraId="09522E12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</w:t>
            </w:r>
          </w:p>
        </w:tc>
        <w:tc>
          <w:tcPr>
            <w:tcW w:w="1254" w:type="dxa"/>
            <w:vAlign w:val="center"/>
          </w:tcPr>
          <w:p w14:paraId="30BE0BE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</w:p>
        </w:tc>
      </w:tr>
      <w:tr w14:paraId="44CDA36E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53A09185">
            <w:pPr>
              <w:adjustRightInd w:val="0"/>
              <w:snapToGrid w:val="0"/>
              <w:spacing w:line="360" w:lineRule="exac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027" w:type="dxa"/>
          </w:tcPr>
          <w:p w14:paraId="51FB8C15">
            <w:pPr>
              <w:adjustRightInd w:val="0"/>
              <w:snapToGrid w:val="0"/>
              <w:spacing w:line="360" w:lineRule="exac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形势与政策（一）</w:t>
            </w:r>
          </w:p>
        </w:tc>
        <w:tc>
          <w:tcPr>
            <w:tcW w:w="1413" w:type="dxa"/>
            <w:vAlign w:val="center"/>
          </w:tcPr>
          <w:p w14:paraId="3A39E9A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</w:p>
        </w:tc>
        <w:tc>
          <w:tcPr>
            <w:tcW w:w="1254" w:type="dxa"/>
            <w:vAlign w:val="center"/>
          </w:tcPr>
          <w:p w14:paraId="5AC4A3D2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0.25</w:t>
            </w:r>
          </w:p>
        </w:tc>
      </w:tr>
      <w:tr w14:paraId="59FBE0B7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20037B45">
            <w:pPr>
              <w:adjustRightInd w:val="0"/>
              <w:snapToGrid w:val="0"/>
              <w:spacing w:line="360" w:lineRule="exac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027" w:type="dxa"/>
          </w:tcPr>
          <w:p w14:paraId="409CC468">
            <w:pPr>
              <w:adjustRightInd w:val="0"/>
              <w:snapToGrid w:val="0"/>
              <w:spacing w:line="360" w:lineRule="exac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形势与政策（二）</w:t>
            </w:r>
          </w:p>
        </w:tc>
        <w:tc>
          <w:tcPr>
            <w:tcW w:w="1413" w:type="dxa"/>
            <w:vAlign w:val="center"/>
          </w:tcPr>
          <w:p w14:paraId="5927A86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</w:t>
            </w:r>
          </w:p>
        </w:tc>
        <w:tc>
          <w:tcPr>
            <w:tcW w:w="1254" w:type="dxa"/>
            <w:vAlign w:val="center"/>
          </w:tcPr>
          <w:p w14:paraId="6174D42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0.25</w:t>
            </w:r>
          </w:p>
        </w:tc>
      </w:tr>
      <w:tr w14:paraId="7019E586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2EE8B2AF">
            <w:pPr>
              <w:adjustRightInd w:val="0"/>
              <w:snapToGrid w:val="0"/>
              <w:spacing w:line="360" w:lineRule="exac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027" w:type="dxa"/>
          </w:tcPr>
          <w:p w14:paraId="301BB420">
            <w:pPr>
              <w:adjustRightInd w:val="0"/>
              <w:snapToGrid w:val="0"/>
              <w:spacing w:line="360" w:lineRule="exac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形势与政策（五）</w:t>
            </w:r>
          </w:p>
        </w:tc>
        <w:tc>
          <w:tcPr>
            <w:tcW w:w="1413" w:type="dxa"/>
            <w:vAlign w:val="center"/>
          </w:tcPr>
          <w:p w14:paraId="31D9ED3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</w:t>
            </w:r>
          </w:p>
        </w:tc>
        <w:tc>
          <w:tcPr>
            <w:tcW w:w="1254" w:type="dxa"/>
            <w:vAlign w:val="center"/>
          </w:tcPr>
          <w:p w14:paraId="106E3CA9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0.25</w:t>
            </w:r>
          </w:p>
        </w:tc>
      </w:tr>
      <w:tr w14:paraId="7D75555B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2C87467C">
            <w:pPr>
              <w:adjustRightInd w:val="0"/>
              <w:snapToGrid w:val="0"/>
              <w:spacing w:line="360" w:lineRule="exac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027" w:type="dxa"/>
          </w:tcPr>
          <w:p w14:paraId="5CA7BFD0">
            <w:pPr>
              <w:adjustRightInd w:val="0"/>
              <w:snapToGrid w:val="0"/>
              <w:spacing w:line="360" w:lineRule="exac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形势与政策（六）</w:t>
            </w:r>
          </w:p>
        </w:tc>
        <w:tc>
          <w:tcPr>
            <w:tcW w:w="1413" w:type="dxa"/>
          </w:tcPr>
          <w:p w14:paraId="2A76745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6</w:t>
            </w:r>
          </w:p>
        </w:tc>
        <w:tc>
          <w:tcPr>
            <w:tcW w:w="1254" w:type="dxa"/>
          </w:tcPr>
          <w:p w14:paraId="1D59148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0.25</w:t>
            </w:r>
          </w:p>
        </w:tc>
      </w:tr>
      <w:tr w14:paraId="656C5459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restart"/>
          </w:tcPr>
          <w:p w14:paraId="19588DDB">
            <w:pPr>
              <w:adjustRightInd w:val="0"/>
              <w:snapToGrid w:val="0"/>
              <w:spacing w:line="360" w:lineRule="exact"/>
              <w:rPr>
                <w:rFonts w:ascii="宋体" w:hAnsi="宋体" w:eastAsia="宋体" w:cs="宋体"/>
                <w:szCs w:val="21"/>
              </w:rPr>
            </w:pPr>
          </w:p>
          <w:p w14:paraId="7546BF88">
            <w:pPr>
              <w:rPr>
                <w:rFonts w:ascii="宋体" w:hAnsi="宋体" w:eastAsia="宋体" w:cs="宋体"/>
                <w:sz w:val="21"/>
                <w:szCs w:val="22"/>
              </w:rPr>
            </w:pPr>
          </w:p>
          <w:p w14:paraId="362EAE5B">
            <w:pPr>
              <w:jc w:val="center"/>
              <w:rPr>
                <w:rFonts w:ascii="宋体" w:hAnsi="宋体" w:eastAsia="宋体" w:cs="宋体"/>
              </w:rPr>
            </w:pPr>
          </w:p>
          <w:p w14:paraId="37E3ACE7">
            <w:pPr>
              <w:jc w:val="center"/>
              <w:rPr>
                <w:rFonts w:ascii="宋体" w:hAnsi="宋体" w:eastAsia="宋体" w:cs="宋体"/>
              </w:rPr>
            </w:pPr>
          </w:p>
          <w:p w14:paraId="346CFD93">
            <w:pPr>
              <w:jc w:val="center"/>
              <w:rPr>
                <w:rFonts w:ascii="宋体" w:hAnsi="宋体" w:eastAsia="宋体" w:cs="宋体"/>
              </w:rPr>
            </w:pPr>
          </w:p>
          <w:p w14:paraId="5448BA35"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专业实验类</w:t>
            </w:r>
          </w:p>
        </w:tc>
        <w:tc>
          <w:tcPr>
            <w:tcW w:w="3027" w:type="dxa"/>
          </w:tcPr>
          <w:p w14:paraId="051C59E0">
            <w:pPr>
              <w:adjustRightInd w:val="0"/>
              <w:snapToGrid w:val="0"/>
              <w:spacing w:line="360" w:lineRule="exac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金融计算机语言（双语）</w:t>
            </w:r>
          </w:p>
        </w:tc>
        <w:tc>
          <w:tcPr>
            <w:tcW w:w="1413" w:type="dxa"/>
          </w:tcPr>
          <w:p w14:paraId="2BB098F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</w:t>
            </w:r>
          </w:p>
        </w:tc>
        <w:tc>
          <w:tcPr>
            <w:tcW w:w="1254" w:type="dxa"/>
          </w:tcPr>
          <w:p w14:paraId="30E8936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</w:p>
        </w:tc>
      </w:tr>
      <w:tr w14:paraId="412AF736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07ECCA6E">
            <w:pPr>
              <w:adjustRightInd w:val="0"/>
              <w:snapToGrid w:val="0"/>
              <w:spacing w:line="360" w:lineRule="exac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027" w:type="dxa"/>
          </w:tcPr>
          <w:p w14:paraId="221E8740">
            <w:pPr>
              <w:adjustRightInd w:val="0"/>
              <w:snapToGrid w:val="0"/>
              <w:spacing w:line="360" w:lineRule="exac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金融风险管理</w:t>
            </w:r>
          </w:p>
        </w:tc>
        <w:tc>
          <w:tcPr>
            <w:tcW w:w="1413" w:type="dxa"/>
          </w:tcPr>
          <w:p w14:paraId="083758F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6</w:t>
            </w:r>
          </w:p>
        </w:tc>
        <w:tc>
          <w:tcPr>
            <w:tcW w:w="1254" w:type="dxa"/>
          </w:tcPr>
          <w:p w14:paraId="4E5C2CA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</w:p>
        </w:tc>
      </w:tr>
      <w:tr w14:paraId="5C90A75B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285AB0F4">
            <w:pPr>
              <w:adjustRightInd w:val="0"/>
              <w:snapToGrid w:val="0"/>
              <w:spacing w:line="360" w:lineRule="exac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027" w:type="dxa"/>
          </w:tcPr>
          <w:p w14:paraId="3A434E6B">
            <w:pPr>
              <w:adjustRightInd w:val="0"/>
              <w:snapToGrid w:val="0"/>
              <w:spacing w:line="360" w:lineRule="exac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金融计量学</w:t>
            </w:r>
          </w:p>
        </w:tc>
        <w:tc>
          <w:tcPr>
            <w:tcW w:w="1413" w:type="dxa"/>
          </w:tcPr>
          <w:p w14:paraId="4324272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</w:t>
            </w:r>
          </w:p>
        </w:tc>
        <w:tc>
          <w:tcPr>
            <w:tcW w:w="1254" w:type="dxa"/>
          </w:tcPr>
          <w:p w14:paraId="5CFFCE0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</w:p>
        </w:tc>
      </w:tr>
      <w:tr w14:paraId="6E14EE54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347137B5">
            <w:pPr>
              <w:adjustRightInd w:val="0"/>
              <w:snapToGrid w:val="0"/>
              <w:spacing w:line="360" w:lineRule="exac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027" w:type="dxa"/>
          </w:tcPr>
          <w:p w14:paraId="7672F8F0">
            <w:pPr>
              <w:adjustRightInd w:val="0"/>
              <w:snapToGrid w:val="0"/>
              <w:spacing w:line="360" w:lineRule="exac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数据可视化</w:t>
            </w:r>
          </w:p>
        </w:tc>
        <w:tc>
          <w:tcPr>
            <w:tcW w:w="1413" w:type="dxa"/>
          </w:tcPr>
          <w:p w14:paraId="33C4F56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</w:t>
            </w:r>
          </w:p>
        </w:tc>
        <w:tc>
          <w:tcPr>
            <w:tcW w:w="1254" w:type="dxa"/>
          </w:tcPr>
          <w:p w14:paraId="2606CDE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</w:p>
        </w:tc>
      </w:tr>
      <w:tr w14:paraId="63E7387E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3407F232">
            <w:pPr>
              <w:adjustRightInd w:val="0"/>
              <w:snapToGrid w:val="0"/>
              <w:spacing w:line="360" w:lineRule="exac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027" w:type="dxa"/>
          </w:tcPr>
          <w:p w14:paraId="2FE32E60">
            <w:pPr>
              <w:adjustRightInd w:val="0"/>
              <w:snapToGrid w:val="0"/>
              <w:spacing w:line="360" w:lineRule="exac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数据结构与算法</w:t>
            </w:r>
          </w:p>
        </w:tc>
        <w:tc>
          <w:tcPr>
            <w:tcW w:w="1413" w:type="dxa"/>
          </w:tcPr>
          <w:p w14:paraId="3976D3E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</w:t>
            </w:r>
          </w:p>
        </w:tc>
        <w:tc>
          <w:tcPr>
            <w:tcW w:w="1254" w:type="dxa"/>
          </w:tcPr>
          <w:p w14:paraId="1EACBD4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</w:p>
        </w:tc>
      </w:tr>
      <w:tr w14:paraId="6DEDF005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386F2DD7">
            <w:pPr>
              <w:adjustRightInd w:val="0"/>
              <w:snapToGrid w:val="0"/>
              <w:spacing w:line="360" w:lineRule="exac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027" w:type="dxa"/>
          </w:tcPr>
          <w:p w14:paraId="1C3E5272">
            <w:pPr>
              <w:adjustRightInd w:val="0"/>
              <w:snapToGrid w:val="0"/>
              <w:spacing w:line="360" w:lineRule="exac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Python数据分析</w:t>
            </w:r>
          </w:p>
        </w:tc>
        <w:tc>
          <w:tcPr>
            <w:tcW w:w="1413" w:type="dxa"/>
          </w:tcPr>
          <w:p w14:paraId="1DEDA1E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</w:t>
            </w:r>
          </w:p>
        </w:tc>
        <w:tc>
          <w:tcPr>
            <w:tcW w:w="1254" w:type="dxa"/>
          </w:tcPr>
          <w:p w14:paraId="4067ECA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</w:p>
        </w:tc>
      </w:tr>
      <w:tr w14:paraId="3900BA32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5C1DE29B">
            <w:pPr>
              <w:adjustRightInd w:val="0"/>
              <w:snapToGrid w:val="0"/>
              <w:spacing w:line="360" w:lineRule="exac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027" w:type="dxa"/>
          </w:tcPr>
          <w:p w14:paraId="018B38A4">
            <w:pPr>
              <w:adjustRightInd w:val="0"/>
              <w:snapToGrid w:val="0"/>
              <w:spacing w:line="360" w:lineRule="exac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人工智能大语言模型</w:t>
            </w:r>
          </w:p>
        </w:tc>
        <w:tc>
          <w:tcPr>
            <w:tcW w:w="1413" w:type="dxa"/>
          </w:tcPr>
          <w:p w14:paraId="5508A75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6</w:t>
            </w:r>
          </w:p>
        </w:tc>
        <w:tc>
          <w:tcPr>
            <w:tcW w:w="1254" w:type="dxa"/>
          </w:tcPr>
          <w:p w14:paraId="4809BF6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</w:p>
        </w:tc>
      </w:tr>
      <w:tr w14:paraId="00EAECC0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6BF3D997">
            <w:pPr>
              <w:adjustRightInd w:val="0"/>
              <w:snapToGrid w:val="0"/>
              <w:spacing w:line="360" w:lineRule="exac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027" w:type="dxa"/>
          </w:tcPr>
          <w:p w14:paraId="04EF765D">
            <w:pPr>
              <w:adjustRightInd w:val="0"/>
              <w:snapToGrid w:val="0"/>
              <w:spacing w:line="360" w:lineRule="exac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非结构数据分析与建模</w:t>
            </w:r>
          </w:p>
        </w:tc>
        <w:tc>
          <w:tcPr>
            <w:tcW w:w="1413" w:type="dxa"/>
          </w:tcPr>
          <w:p w14:paraId="719C6EA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6</w:t>
            </w:r>
          </w:p>
        </w:tc>
        <w:tc>
          <w:tcPr>
            <w:tcW w:w="1254" w:type="dxa"/>
          </w:tcPr>
          <w:p w14:paraId="194ED91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</w:p>
        </w:tc>
      </w:tr>
      <w:tr w14:paraId="15DCBF0F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4F89275D">
            <w:pPr>
              <w:adjustRightInd w:val="0"/>
              <w:snapToGrid w:val="0"/>
              <w:spacing w:line="360" w:lineRule="exac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027" w:type="dxa"/>
          </w:tcPr>
          <w:p w14:paraId="5BB7FBAB">
            <w:pPr>
              <w:adjustRightInd w:val="0"/>
              <w:snapToGrid w:val="0"/>
              <w:spacing w:line="360" w:lineRule="exac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金融数据库（双语）</w:t>
            </w:r>
          </w:p>
        </w:tc>
        <w:tc>
          <w:tcPr>
            <w:tcW w:w="1413" w:type="dxa"/>
          </w:tcPr>
          <w:p w14:paraId="3C3EAF1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7</w:t>
            </w:r>
          </w:p>
        </w:tc>
        <w:tc>
          <w:tcPr>
            <w:tcW w:w="1254" w:type="dxa"/>
          </w:tcPr>
          <w:p w14:paraId="4BD06C6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</w:p>
        </w:tc>
      </w:tr>
      <w:tr w14:paraId="0D3D5749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509A6908">
            <w:pPr>
              <w:adjustRightInd w:val="0"/>
              <w:snapToGrid w:val="0"/>
              <w:spacing w:line="360" w:lineRule="exac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027" w:type="dxa"/>
          </w:tcPr>
          <w:p w14:paraId="4EBC35CA">
            <w:pPr>
              <w:adjustRightInd w:val="0"/>
              <w:snapToGrid w:val="0"/>
              <w:spacing w:line="360" w:lineRule="exac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金融建模</w:t>
            </w:r>
          </w:p>
        </w:tc>
        <w:tc>
          <w:tcPr>
            <w:tcW w:w="1413" w:type="dxa"/>
          </w:tcPr>
          <w:p w14:paraId="2568771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</w:t>
            </w:r>
          </w:p>
        </w:tc>
        <w:tc>
          <w:tcPr>
            <w:tcW w:w="1254" w:type="dxa"/>
          </w:tcPr>
          <w:p w14:paraId="33ACF4F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</w:p>
        </w:tc>
      </w:tr>
      <w:tr w14:paraId="2E88ACEC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408" w:type="dxa"/>
            <w:gridSpan w:val="2"/>
          </w:tcPr>
          <w:p w14:paraId="054A329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合计</w:t>
            </w:r>
          </w:p>
        </w:tc>
        <w:tc>
          <w:tcPr>
            <w:tcW w:w="1413" w:type="dxa"/>
          </w:tcPr>
          <w:p w14:paraId="0A8263C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1254" w:type="dxa"/>
          </w:tcPr>
          <w:p w14:paraId="473A9C3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37.5</w:t>
            </w:r>
          </w:p>
        </w:tc>
      </w:tr>
    </w:tbl>
    <w:p w14:paraId="4C5EAEA1">
      <w:pPr>
        <w:pStyle w:val="15"/>
        <w:tabs>
          <w:tab w:val="left" w:pos="851"/>
        </w:tabs>
        <w:spacing w:before="0" w:beforeAutospacing="0" w:after="0" w:afterAutospacing="0" w:line="360" w:lineRule="auto"/>
        <w:ind w:firstLine="482" w:firstLineChars="200"/>
        <w:jc w:val="both"/>
        <w:outlineLvl w:val="0"/>
        <w:rPr>
          <w:rFonts w:cs="宋体"/>
          <w:b/>
        </w:rPr>
      </w:pPr>
    </w:p>
    <w:p w14:paraId="675E289C">
      <w:pPr>
        <w:pStyle w:val="15"/>
        <w:tabs>
          <w:tab w:val="left" w:pos="851"/>
        </w:tabs>
        <w:spacing w:before="0" w:beforeAutospacing="0" w:after="0" w:afterAutospacing="0" w:line="360" w:lineRule="auto"/>
        <w:ind w:firstLine="482" w:firstLineChars="200"/>
        <w:jc w:val="both"/>
        <w:outlineLvl w:val="0"/>
        <w:rPr>
          <w:rFonts w:ascii="Times New Roman"/>
          <w:b/>
        </w:rPr>
      </w:pPr>
      <w:r>
        <w:rPr>
          <w:rFonts w:hint="eastAsia" w:ascii="Times New Roman"/>
          <w:b/>
        </w:rPr>
        <w:t>七、本科学分制指导性教学计划表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inheri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7856D21"/>
    <w:multiLevelType w:val="multilevel"/>
    <w:tmpl w:val="77856D21"/>
    <w:lvl w:ilvl="0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 w:tentative="0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420"/>
  <w:drawingGridVerticalSpacing w:val="156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QyNmU0YWQxZTc1NGRiYzEwNzJlNjg2MTc0NWM4MWYifQ=="/>
  </w:docVars>
  <w:rsids>
    <w:rsidRoot w:val="0028575F"/>
    <w:rsid w:val="00044954"/>
    <w:rsid w:val="00224F30"/>
    <w:rsid w:val="0028575F"/>
    <w:rsid w:val="0031434C"/>
    <w:rsid w:val="00406CE5"/>
    <w:rsid w:val="00532D95"/>
    <w:rsid w:val="006950C3"/>
    <w:rsid w:val="00817F27"/>
    <w:rsid w:val="00956DE2"/>
    <w:rsid w:val="00BF13D5"/>
    <w:rsid w:val="00EE4730"/>
    <w:rsid w:val="00FC21C2"/>
    <w:rsid w:val="01C6371E"/>
    <w:rsid w:val="1D923382"/>
    <w:rsid w:val="266B5259"/>
    <w:rsid w:val="33411DC3"/>
    <w:rsid w:val="362110DE"/>
    <w:rsid w:val="36496EAE"/>
    <w:rsid w:val="426A18CA"/>
    <w:rsid w:val="7F921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</w:pPr>
    <w:rPr>
      <w:rFonts w:asciiTheme="minorHAnsi" w:hAnsiTheme="minorHAnsi" w:eastAsiaTheme="minorEastAsia" w:cstheme="minorBidi"/>
      <w:kern w:val="2"/>
      <w:sz w:val="22"/>
      <w:szCs w:val="24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paragraph" w:styleId="3">
    <w:name w:val="heading 2"/>
    <w:basedOn w:val="1"/>
    <w:next w:val="1"/>
    <w:link w:val="20"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paragraph" w:styleId="4">
    <w:name w:val="heading 3"/>
    <w:basedOn w:val="1"/>
    <w:next w:val="1"/>
    <w:link w:val="21"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paragraph" w:styleId="5">
    <w:name w:val="heading 4"/>
    <w:basedOn w:val="1"/>
    <w:next w:val="1"/>
    <w:link w:val="22"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2F5597" w:themeColor="accent1" w:themeShade="BF"/>
      <w:sz w:val="28"/>
      <w:szCs w:val="28"/>
    </w:rPr>
  </w:style>
  <w:style w:type="paragraph" w:styleId="6">
    <w:name w:val="heading 5"/>
    <w:basedOn w:val="1"/>
    <w:next w:val="1"/>
    <w:link w:val="23"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2F5597" w:themeColor="accent1" w:themeShade="BF"/>
      <w:sz w:val="24"/>
    </w:rPr>
  </w:style>
  <w:style w:type="paragraph" w:styleId="7">
    <w:name w:val="heading 6"/>
    <w:basedOn w:val="1"/>
    <w:next w:val="1"/>
    <w:link w:val="24"/>
    <w:unhideWhenUsed/>
    <w:qFormat/>
    <w:uiPriority w:val="9"/>
    <w:pPr>
      <w:keepNext/>
      <w:keepLines/>
      <w:spacing w:before="40" w:after="0"/>
      <w:outlineLvl w:val="5"/>
    </w:pPr>
    <w:rPr>
      <w:rFonts w:cstheme="majorBidi"/>
      <w:b/>
      <w:bCs/>
      <w:color w:val="2F5597" w:themeColor="accent1" w:themeShade="BF"/>
    </w:rPr>
  </w:style>
  <w:style w:type="paragraph" w:styleId="8">
    <w:name w:val="heading 7"/>
    <w:basedOn w:val="1"/>
    <w:next w:val="1"/>
    <w:link w:val="25"/>
    <w:unhideWhenUsed/>
    <w:qFormat/>
    <w:uiPriority w:val="9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6"/>
    <w:unhideWhenUsed/>
    <w:qFormat/>
    <w:uiPriority w:val="9"/>
    <w:pPr>
      <w:keepNext/>
      <w:keepLines/>
      <w:spacing w:after="0"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7"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ody Text Indent 2"/>
    <w:basedOn w:val="1"/>
    <w:link w:val="39"/>
    <w:qFormat/>
    <w:uiPriority w:val="0"/>
    <w:pPr>
      <w:spacing w:after="0" w:line="360" w:lineRule="auto"/>
      <w:ind w:firstLine="480" w:firstLineChars="200"/>
      <w:jc w:val="both"/>
    </w:pPr>
    <w:rPr>
      <w:rFonts w:ascii="Arial" w:hAnsi="宋体" w:eastAsia="宋体" w:cs="Arial"/>
      <w:sz w:val="24"/>
      <w:szCs w:val="21"/>
    </w:rPr>
  </w:style>
  <w:style w:type="paragraph" w:styleId="12">
    <w:name w:val="footer"/>
    <w:basedOn w:val="1"/>
    <w:link w:val="38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13">
    <w:name w:val="header"/>
    <w:basedOn w:val="1"/>
    <w:link w:val="37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14">
    <w:name w:val="Subtitle"/>
    <w:basedOn w:val="1"/>
    <w:next w:val="1"/>
    <w:link w:val="29"/>
    <w:qFormat/>
    <w:uiPriority w:val="11"/>
    <w:pPr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5">
    <w:name w:val="Normal (Web)"/>
    <w:basedOn w:val="1"/>
    <w:qFormat/>
    <w:uiPriority w:val="0"/>
    <w:pPr>
      <w:widowControl/>
      <w:spacing w:before="100" w:beforeAutospacing="1" w:after="100" w:afterAutospacing="1" w:line="240" w:lineRule="auto"/>
    </w:pPr>
    <w:rPr>
      <w:rFonts w:ascii="宋体" w:hAnsi="宋体" w:eastAsia="宋体" w:cs="Times New Roman"/>
      <w:kern w:val="0"/>
      <w:sz w:val="24"/>
    </w:rPr>
  </w:style>
  <w:style w:type="paragraph" w:styleId="16">
    <w:name w:val="Title"/>
    <w:basedOn w:val="1"/>
    <w:next w:val="1"/>
    <w:link w:val="28"/>
    <w:qFormat/>
    <w:uiPriority w:val="10"/>
    <w:pPr>
      <w:spacing w:after="80" w:line="240" w:lineRule="auto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9">
    <w:name w:val="标题 1 字符"/>
    <w:basedOn w:val="18"/>
    <w:link w:val="2"/>
    <w:qFormat/>
    <w:uiPriority w:val="9"/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character" w:customStyle="1" w:styleId="20">
    <w:name w:val="标题 2 字符"/>
    <w:basedOn w:val="18"/>
    <w:link w:val="3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21">
    <w:name w:val="标题 3 字符"/>
    <w:basedOn w:val="18"/>
    <w:link w:val="4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22">
    <w:name w:val="标题 4 字符"/>
    <w:basedOn w:val="18"/>
    <w:link w:val="5"/>
    <w:semiHidden/>
    <w:qFormat/>
    <w:uiPriority w:val="9"/>
    <w:rPr>
      <w:rFonts w:cstheme="majorBidi"/>
      <w:color w:val="2F5597" w:themeColor="accent1" w:themeShade="BF"/>
      <w:sz w:val="28"/>
      <w:szCs w:val="28"/>
    </w:rPr>
  </w:style>
  <w:style w:type="character" w:customStyle="1" w:styleId="23">
    <w:name w:val="标题 5 字符"/>
    <w:basedOn w:val="18"/>
    <w:link w:val="6"/>
    <w:semiHidden/>
    <w:qFormat/>
    <w:uiPriority w:val="9"/>
    <w:rPr>
      <w:rFonts w:cstheme="majorBidi"/>
      <w:color w:val="2F5597" w:themeColor="accent1" w:themeShade="BF"/>
      <w:sz w:val="24"/>
    </w:rPr>
  </w:style>
  <w:style w:type="character" w:customStyle="1" w:styleId="24">
    <w:name w:val="标题 6 字符"/>
    <w:basedOn w:val="18"/>
    <w:link w:val="7"/>
    <w:semiHidden/>
    <w:qFormat/>
    <w:uiPriority w:val="9"/>
    <w:rPr>
      <w:rFonts w:cstheme="majorBidi"/>
      <w:b/>
      <w:bCs/>
      <w:color w:val="2F5597" w:themeColor="accent1" w:themeShade="BF"/>
    </w:rPr>
  </w:style>
  <w:style w:type="character" w:customStyle="1" w:styleId="25">
    <w:name w:val="标题 7 字符"/>
    <w:basedOn w:val="18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8 字符"/>
    <w:basedOn w:val="18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7">
    <w:name w:val="标题 9 字符"/>
    <w:basedOn w:val="18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8">
    <w:name w:val="标题 字符"/>
    <w:basedOn w:val="18"/>
    <w:link w:val="16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9">
    <w:name w:val="副标题 字符"/>
    <w:basedOn w:val="18"/>
    <w:link w:val="14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customStyle="1" w:styleId="30">
    <w:name w:val="引用1"/>
    <w:basedOn w:val="1"/>
    <w:next w:val="1"/>
    <w:link w:val="31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1">
    <w:name w:val="引用 字符"/>
    <w:basedOn w:val="18"/>
    <w:link w:val="30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customStyle="1" w:styleId="32">
    <w:name w:val="列表段落1"/>
    <w:basedOn w:val="1"/>
    <w:qFormat/>
    <w:uiPriority w:val="34"/>
    <w:pPr>
      <w:ind w:left="720"/>
      <w:contextualSpacing/>
    </w:pPr>
  </w:style>
  <w:style w:type="character" w:customStyle="1" w:styleId="33">
    <w:name w:val="明显强调1"/>
    <w:basedOn w:val="18"/>
    <w:qFormat/>
    <w:uiPriority w:val="21"/>
    <w:rPr>
      <w:i/>
      <w:iCs/>
      <w:color w:val="2F5597" w:themeColor="accent1" w:themeShade="BF"/>
    </w:rPr>
  </w:style>
  <w:style w:type="paragraph" w:customStyle="1" w:styleId="34">
    <w:name w:val="明显引用1"/>
    <w:basedOn w:val="1"/>
    <w:next w:val="1"/>
    <w:link w:val="35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597" w:themeColor="accent1" w:themeShade="BF"/>
    </w:rPr>
  </w:style>
  <w:style w:type="character" w:customStyle="1" w:styleId="35">
    <w:name w:val="明显引用 字符"/>
    <w:basedOn w:val="18"/>
    <w:link w:val="34"/>
    <w:qFormat/>
    <w:uiPriority w:val="30"/>
    <w:rPr>
      <w:i/>
      <w:iCs/>
      <w:color w:val="2F5597" w:themeColor="accent1" w:themeShade="BF"/>
    </w:rPr>
  </w:style>
  <w:style w:type="character" w:customStyle="1" w:styleId="36">
    <w:name w:val="明显参考1"/>
    <w:basedOn w:val="18"/>
    <w:qFormat/>
    <w:uiPriority w:val="32"/>
    <w:rPr>
      <w:b/>
      <w:bCs/>
      <w:smallCaps/>
      <w:color w:val="2F5597" w:themeColor="accent1" w:themeShade="BF"/>
      <w:spacing w:val="5"/>
    </w:rPr>
  </w:style>
  <w:style w:type="character" w:customStyle="1" w:styleId="37">
    <w:name w:val="页眉 字符"/>
    <w:basedOn w:val="18"/>
    <w:link w:val="13"/>
    <w:qFormat/>
    <w:uiPriority w:val="99"/>
    <w:rPr>
      <w:sz w:val="18"/>
      <w:szCs w:val="18"/>
    </w:rPr>
  </w:style>
  <w:style w:type="character" w:customStyle="1" w:styleId="38">
    <w:name w:val="页脚 字符"/>
    <w:basedOn w:val="18"/>
    <w:link w:val="12"/>
    <w:qFormat/>
    <w:uiPriority w:val="99"/>
    <w:rPr>
      <w:sz w:val="18"/>
      <w:szCs w:val="18"/>
    </w:rPr>
  </w:style>
  <w:style w:type="character" w:customStyle="1" w:styleId="39">
    <w:name w:val="正文文本缩进 2 字符"/>
    <w:basedOn w:val="18"/>
    <w:link w:val="11"/>
    <w:qFormat/>
    <w:uiPriority w:val="0"/>
    <w:rPr>
      <w:rFonts w:ascii="Arial" w:hAnsi="宋体" w:eastAsia="宋体" w:cs="Arial"/>
      <w:sz w:val="24"/>
      <w:szCs w:val="21"/>
      <w14:ligatures w14:val="none"/>
    </w:rPr>
  </w:style>
  <w:style w:type="paragraph" w:customStyle="1" w:styleId="40">
    <w:name w:val="列表段落11"/>
    <w:basedOn w:val="1"/>
    <w:qFormat/>
    <w:uiPriority w:val="99"/>
    <w:pPr>
      <w:ind w:firstLine="420" w:firstLineChars="200"/>
    </w:pPr>
    <w:rPr>
      <w:szCs w:val="21"/>
    </w:rPr>
  </w:style>
  <w:style w:type="character" w:customStyle="1" w:styleId="41">
    <w:name w:val="font01"/>
    <w:basedOn w:val="18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42">
    <w:name w:val="font11"/>
    <w:basedOn w:val="18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2653</Words>
  <Characters>2776</Characters>
  <Lines>21</Lines>
  <Paragraphs>6</Paragraphs>
  <TotalTime>24</TotalTime>
  <ScaleCrop>false</ScaleCrop>
  <LinksUpToDate>false</LinksUpToDate>
  <CharactersWithSpaces>2785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2025-04-25T06:52:00Z</dcterms:created>
  <dc:creator>Shuxun</dc:creator>
  <cp:lastModifiedBy>王婧</cp:lastModifiedBy>
  <dcterms:modified xsi:type="dcterms:W3CDTF">2025-05-15T02:25:29Z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AB5C80A9A34E46B69A68DA20437C0981_13</vt:lpwstr>
  </property>
</Properties>
</file>