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112DB">
      <w:pPr>
        <w:pStyle w:val="7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方正小标宋简体" w:hAnsi="Times New Roman" w:eastAsia="方正小标宋简体"/>
          <w:color w:val="auto"/>
          <w:sz w:val="36"/>
          <w:szCs w:val="36"/>
        </w:rPr>
      </w:pPr>
      <w:r>
        <w:rPr>
          <w:rFonts w:hint="eastAsia" w:ascii="方正小标宋简体" w:eastAsia="方正小标宋简体"/>
          <w:color w:val="auto"/>
          <w:sz w:val="36"/>
          <w:szCs w:val="36"/>
        </w:rPr>
        <w:t>金融学类专业（金融学）本科人才培养方案</w:t>
      </w:r>
    </w:p>
    <w:p w14:paraId="65EB790C">
      <w:pPr>
        <w:pStyle w:val="7"/>
        <w:tabs>
          <w:tab w:val="left" w:pos="1380"/>
        </w:tabs>
        <w:spacing w:before="0" w:beforeAutospacing="0" w:after="0" w:afterAutospacing="0" w:line="360" w:lineRule="auto"/>
        <w:ind w:firstLine="630" w:firstLineChars="225"/>
        <w:jc w:val="center"/>
        <w:rPr>
          <w:rFonts w:ascii="方正小标宋简体" w:hAnsi="Times New Roman" w:eastAsia="方正小标宋简体"/>
          <w:color w:val="auto"/>
          <w:sz w:val="28"/>
          <w:szCs w:val="28"/>
        </w:rPr>
      </w:pPr>
      <w:r>
        <w:rPr>
          <w:rFonts w:hint="eastAsia" w:ascii="方正小标宋简体" w:eastAsia="方正小标宋简体"/>
          <w:color w:val="auto"/>
          <w:sz w:val="28"/>
          <w:szCs w:val="28"/>
        </w:rPr>
        <w:t>（专业代码：</w:t>
      </w:r>
      <w:r>
        <w:rPr>
          <w:rFonts w:hint="eastAsia" w:ascii="方正小标宋简体" w:hAnsi="Times New Roman" w:eastAsia="方正小标宋简体"/>
          <w:color w:val="auto"/>
          <w:sz w:val="28"/>
          <w:szCs w:val="28"/>
        </w:rPr>
        <w:t>020301K</w:t>
      </w:r>
      <w:r>
        <w:rPr>
          <w:rFonts w:hint="eastAsia" w:ascii="方正小标宋简体" w:eastAsia="方正小标宋简体"/>
          <w:color w:val="auto"/>
          <w:sz w:val="28"/>
          <w:szCs w:val="28"/>
        </w:rPr>
        <w:t>）</w:t>
      </w:r>
    </w:p>
    <w:p w14:paraId="7525A573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auto"/>
        </w:rPr>
      </w:pPr>
      <w:r>
        <w:rPr>
          <w:rFonts w:ascii="Times New Roman"/>
          <w:b/>
          <w:color w:val="auto"/>
        </w:rPr>
        <w:t>一、培养目标</w:t>
      </w:r>
    </w:p>
    <w:p w14:paraId="7077BA04">
      <w:pPr>
        <w:pStyle w:val="3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color w:val="auto"/>
          <w:szCs w:val="24"/>
        </w:rPr>
        <w:t>金融学专业着眼于学生</w:t>
      </w:r>
      <w:r>
        <w:rPr>
          <w:rFonts w:hint="eastAsia"/>
          <w:color w:val="auto"/>
        </w:rPr>
        <w:t>社会主义核心价值观的正确树立和</w:t>
      </w:r>
      <w:r>
        <w:rPr>
          <w:rFonts w:hint="eastAsia" w:ascii="Times New Roman" w:hAnsi="Times New Roman" w:cs="Times New Roman"/>
          <w:color w:val="auto"/>
        </w:rPr>
        <w:t>德智体美劳的全面发展。</w:t>
      </w:r>
      <w:r>
        <w:rPr>
          <w:rFonts w:hint="eastAsia" w:ascii="Times New Roman"/>
          <w:color w:val="auto"/>
          <w:szCs w:val="24"/>
        </w:rPr>
        <w:t>强调培养学生的人文、科技素养和实践创新能力。培养具有</w:t>
      </w:r>
      <w:r>
        <w:rPr>
          <w:rFonts w:ascii="Times New Roman"/>
          <w:color w:val="auto"/>
          <w:szCs w:val="24"/>
        </w:rPr>
        <w:t>扎实的经济学和金融学理论基础</w:t>
      </w:r>
      <w:r>
        <w:rPr>
          <w:rFonts w:hint="eastAsia" w:ascii="Times New Roman"/>
          <w:color w:val="auto"/>
          <w:szCs w:val="24"/>
        </w:rPr>
        <w:t>、</w:t>
      </w:r>
      <w:r>
        <w:rPr>
          <w:rFonts w:ascii="Times New Roman"/>
          <w:color w:val="auto"/>
          <w:szCs w:val="24"/>
        </w:rPr>
        <w:t>熟练</w:t>
      </w:r>
      <w:r>
        <w:rPr>
          <w:rFonts w:hint="eastAsia" w:ascii="Times New Roman"/>
          <w:color w:val="auto"/>
          <w:szCs w:val="24"/>
        </w:rPr>
        <w:t>的</w:t>
      </w:r>
      <w:r>
        <w:rPr>
          <w:rFonts w:ascii="Times New Roman"/>
          <w:color w:val="auto"/>
          <w:szCs w:val="24"/>
        </w:rPr>
        <w:t>金融学专业知识和</w:t>
      </w:r>
      <w:r>
        <w:rPr>
          <w:rFonts w:hint="eastAsia" w:ascii="Times New Roman"/>
          <w:color w:val="auto"/>
          <w:szCs w:val="24"/>
        </w:rPr>
        <w:t>应用</w:t>
      </w:r>
      <w:r>
        <w:rPr>
          <w:rFonts w:ascii="Times New Roman"/>
          <w:color w:val="auto"/>
          <w:szCs w:val="24"/>
        </w:rPr>
        <w:t>技能</w:t>
      </w:r>
      <w:r>
        <w:rPr>
          <w:rFonts w:hint="eastAsia" w:ascii="Times New Roman"/>
          <w:color w:val="auto"/>
          <w:szCs w:val="24"/>
        </w:rPr>
        <w:t>、</w:t>
      </w:r>
      <w:r>
        <w:rPr>
          <w:rFonts w:ascii="Times New Roman"/>
          <w:color w:val="auto"/>
          <w:szCs w:val="24"/>
        </w:rPr>
        <w:t>国内外继续深造</w:t>
      </w:r>
      <w:r>
        <w:rPr>
          <w:rFonts w:hint="eastAsia" w:ascii="Times New Roman"/>
          <w:color w:val="auto"/>
          <w:szCs w:val="24"/>
        </w:rPr>
        <w:t>的基础和能力；</w:t>
      </w:r>
      <w:r>
        <w:rPr>
          <w:rFonts w:ascii="Times New Roman"/>
          <w:color w:val="auto"/>
          <w:szCs w:val="24"/>
        </w:rPr>
        <w:t>具有</w:t>
      </w:r>
      <w:r>
        <w:rPr>
          <w:rFonts w:hint="eastAsia" w:ascii="Times New Roman"/>
          <w:color w:val="auto"/>
          <w:szCs w:val="24"/>
        </w:rPr>
        <w:t>深厚的知识储备和合理的知识结构、较高的外语水平和开放包容的国际化视野；具有团队合作意识、社会责任感和创新精神，能够胜任各类</w:t>
      </w:r>
      <w:r>
        <w:rPr>
          <w:rFonts w:ascii="Times New Roman"/>
          <w:color w:val="auto"/>
          <w:szCs w:val="24"/>
        </w:rPr>
        <w:t>金融机构、工商企业以及政府部门</w:t>
      </w:r>
      <w:r>
        <w:rPr>
          <w:rFonts w:hint="eastAsia" w:ascii="Times New Roman"/>
          <w:color w:val="auto"/>
          <w:szCs w:val="24"/>
        </w:rPr>
        <w:t>等相关专业</w:t>
      </w:r>
      <w:r>
        <w:rPr>
          <w:rFonts w:ascii="Times New Roman"/>
          <w:color w:val="auto"/>
          <w:szCs w:val="24"/>
        </w:rPr>
        <w:t>工作</w:t>
      </w:r>
      <w:r>
        <w:rPr>
          <w:rFonts w:hint="eastAsia" w:ascii="Times New Roman"/>
          <w:color w:val="auto"/>
          <w:szCs w:val="24"/>
        </w:rPr>
        <w:t>的创新型、复合型、应用型、国际化的金融精英人才。</w:t>
      </w:r>
    </w:p>
    <w:p w14:paraId="1180B81D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ascii="Times New Roman"/>
          <w:b/>
          <w:color w:val="auto"/>
        </w:rPr>
        <w:t>二、</w:t>
      </w:r>
      <w:r>
        <w:rPr>
          <w:rFonts w:hint="eastAsia" w:ascii="Times New Roman"/>
          <w:b/>
          <w:color w:val="auto"/>
        </w:rPr>
        <w:t>毕业要求</w:t>
      </w:r>
    </w:p>
    <w:p w14:paraId="37F9D0D6">
      <w:pPr>
        <w:pStyle w:val="3"/>
        <w:ind w:firstLine="482"/>
        <w:rPr>
          <w:rFonts w:ascii="Times New Roman"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</w:rPr>
        <w:t>1</w:t>
      </w:r>
      <w:r>
        <w:rPr>
          <w:rFonts w:ascii="Times New Roman"/>
          <w:b/>
          <w:color w:val="auto"/>
          <w:szCs w:val="24"/>
        </w:rPr>
        <w:t>．</w:t>
      </w:r>
      <w:r>
        <w:rPr>
          <w:rFonts w:hint="eastAsia"/>
          <w:b/>
          <w:color w:val="auto"/>
        </w:rPr>
        <w:t>掌握马克思主义、毛泽东思想和新时代中国特色社会主义思想体系，</w:t>
      </w:r>
      <w:r>
        <w:rPr>
          <w:rFonts w:hint="eastAsia" w:ascii="Times New Roman"/>
          <w:color w:val="auto"/>
          <w:szCs w:val="24"/>
        </w:rPr>
        <w:t>构建"大思政"育人格局。</w:t>
      </w:r>
      <w:r>
        <w:rPr>
          <w:rFonts w:hint="eastAsia"/>
          <w:color w:val="auto"/>
        </w:rPr>
        <w:t>具有良好的思想品德、社会公德、职业道德和个人修养；具有爱岗敬业、遵纪守法和团结合作的品质；</w:t>
      </w:r>
      <w:bookmarkStart w:id="0" w:name="OLE_LINK22"/>
      <w:bookmarkStart w:id="1" w:name="OLE_LINK21"/>
      <w:r>
        <w:rPr>
          <w:rFonts w:hint="eastAsia"/>
          <w:color w:val="auto"/>
        </w:rPr>
        <w:t>具有</w:t>
      </w:r>
      <w:r>
        <w:rPr>
          <w:rFonts w:hint="eastAsia" w:ascii="Times New Roman"/>
          <w:color w:val="auto"/>
          <w:szCs w:val="24"/>
        </w:rPr>
        <w:t>科技向善的价值观与伦理自觉，</w:t>
      </w:r>
      <w:bookmarkEnd w:id="0"/>
      <w:bookmarkEnd w:id="1"/>
      <w:r>
        <w:rPr>
          <w:rFonts w:hint="eastAsia" w:ascii="Times New Roman"/>
          <w:color w:val="auto"/>
          <w:szCs w:val="24"/>
        </w:rPr>
        <w:t>兼具跨领域思维能力与复合型素养；</w:t>
      </w:r>
      <w:r>
        <w:rPr>
          <w:rFonts w:hint="eastAsia"/>
          <w:color w:val="auto"/>
        </w:rPr>
        <w:t>具有为国家富强、民族昌盛而奋斗的志向和责任感。</w:t>
      </w:r>
    </w:p>
    <w:p w14:paraId="03911B72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2．</w:t>
      </w:r>
      <w:bookmarkStart w:id="2" w:name="OLE_LINK23"/>
      <w:r>
        <w:rPr>
          <w:rFonts w:hint="eastAsia" w:ascii="Times New Roman"/>
          <w:b/>
          <w:color w:val="auto"/>
          <w:szCs w:val="24"/>
        </w:rPr>
        <w:t>注重金融创新人才专业韧性、</w:t>
      </w:r>
      <w:r>
        <w:rPr>
          <w:rFonts w:ascii="Times New Roman"/>
          <w:b/>
          <w:color w:val="auto"/>
          <w:szCs w:val="24"/>
        </w:rPr>
        <w:t>技术能力</w:t>
      </w:r>
      <w:r>
        <w:rPr>
          <w:rFonts w:hint="eastAsia" w:ascii="Times New Roman"/>
          <w:b/>
          <w:color w:val="auto"/>
          <w:szCs w:val="24"/>
        </w:rPr>
        <w:t>、</w:t>
      </w:r>
      <w:r>
        <w:rPr>
          <w:rFonts w:ascii="Times New Roman"/>
          <w:b/>
          <w:color w:val="auto"/>
          <w:szCs w:val="24"/>
        </w:rPr>
        <w:t>社会价值</w:t>
      </w:r>
      <w:r>
        <w:rPr>
          <w:rFonts w:hint="eastAsia" w:ascii="Times New Roman"/>
          <w:b/>
          <w:color w:val="auto"/>
          <w:szCs w:val="24"/>
        </w:rPr>
        <w:t>、</w:t>
      </w:r>
      <w:r>
        <w:rPr>
          <w:rFonts w:ascii="Times New Roman"/>
          <w:b/>
          <w:color w:val="auto"/>
          <w:szCs w:val="24"/>
        </w:rPr>
        <w:t>个人修养</w:t>
      </w:r>
      <w:r>
        <w:rPr>
          <w:rFonts w:hint="eastAsia" w:ascii="Times New Roman"/>
          <w:b/>
          <w:color w:val="auto"/>
          <w:szCs w:val="24"/>
        </w:rPr>
        <w:t>多</w:t>
      </w:r>
      <w:r>
        <w:rPr>
          <w:rFonts w:ascii="Times New Roman"/>
          <w:b/>
          <w:color w:val="auto"/>
          <w:szCs w:val="24"/>
        </w:rPr>
        <w:t>维度</w:t>
      </w:r>
      <w:r>
        <w:rPr>
          <w:rFonts w:hint="eastAsia" w:ascii="Times New Roman"/>
          <w:b/>
          <w:color w:val="auto"/>
          <w:szCs w:val="24"/>
        </w:rPr>
        <w:t>等综合发展。</w:t>
      </w:r>
      <w:r>
        <w:rPr>
          <w:rFonts w:hint="eastAsia" w:ascii="Times New Roman"/>
          <w:color w:val="auto"/>
          <w:szCs w:val="24"/>
        </w:rPr>
        <w:t>具有</w:t>
      </w:r>
      <w:r>
        <w:rPr>
          <w:rFonts w:ascii="Times New Roman"/>
          <w:color w:val="auto"/>
          <w:szCs w:val="24"/>
        </w:rPr>
        <w:t>为国家富强、民族昌盛而奋斗的</w:t>
      </w:r>
      <w:r>
        <w:rPr>
          <w:rFonts w:hint="eastAsia" w:ascii="Times New Roman"/>
          <w:color w:val="auto"/>
          <w:szCs w:val="24"/>
        </w:rPr>
        <w:t>、强烈的社会责任感；具有</w:t>
      </w:r>
      <w:r>
        <w:rPr>
          <w:rFonts w:ascii="Segoe UI" w:hAnsi="Segoe UI" w:cs="Segoe UI"/>
          <w:color w:val="auto"/>
        </w:rPr>
        <w:t>适应金融科技快速迭代的压力，保持持续学习与心理调适能力</w:t>
      </w:r>
      <w:r>
        <w:rPr>
          <w:rFonts w:hint="eastAsia" w:ascii="Segoe UI" w:hAnsi="Segoe UI" w:cs="Segoe UI"/>
          <w:color w:val="auto"/>
        </w:rPr>
        <w:t>；</w:t>
      </w:r>
      <w:r>
        <w:rPr>
          <w:rFonts w:ascii="Times New Roman"/>
          <w:color w:val="auto"/>
          <w:szCs w:val="24"/>
        </w:rPr>
        <w:t>具有良好的</w:t>
      </w:r>
      <w:r>
        <w:rPr>
          <w:rFonts w:hint="eastAsia" w:ascii="Times New Roman"/>
          <w:color w:val="auto"/>
          <w:szCs w:val="24"/>
        </w:rPr>
        <w:t>法律意识、保持开放合作的专业协作精神；具有良好的</w:t>
      </w:r>
      <w:r>
        <w:rPr>
          <w:rFonts w:ascii="Times New Roman"/>
          <w:color w:val="auto"/>
          <w:szCs w:val="24"/>
        </w:rPr>
        <w:t>社会公德、职业道德和个人修养</w:t>
      </w:r>
      <w:r>
        <w:rPr>
          <w:rFonts w:hint="eastAsia" w:ascii="Times New Roman"/>
          <w:color w:val="auto"/>
          <w:szCs w:val="24"/>
        </w:rPr>
        <w:t>，注重德智体美劳的全面发展。</w:t>
      </w:r>
      <w:bookmarkEnd w:id="2"/>
    </w:p>
    <w:p w14:paraId="6FD2E79A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3．夯实金融学科基础知识理论、拓宽知识广度、优化知识结构</w:t>
      </w:r>
      <w:r>
        <w:rPr>
          <w:rFonts w:hint="eastAsia" w:ascii="Times New Roman"/>
          <w:color w:val="auto"/>
          <w:szCs w:val="24"/>
        </w:rPr>
        <w:t>。具备深厚扎实的理论研究基础，熟悉金融学、经济学、管理学基本原理和方法；拓宽知识学习的范围和综合化视野；强化数理、人工智能交叉学科知识融合，</w:t>
      </w:r>
      <w:r>
        <w:rPr>
          <w:rFonts w:ascii="Times New Roman"/>
          <w:bCs/>
          <w:color w:val="auto"/>
          <w:szCs w:val="24"/>
        </w:rPr>
        <w:t>系统构建可扩展</w:t>
      </w:r>
      <w:r>
        <w:rPr>
          <w:rFonts w:hint="eastAsia" w:ascii="Times New Roman"/>
          <w:bCs/>
          <w:color w:val="auto"/>
          <w:szCs w:val="24"/>
        </w:rPr>
        <w:t>与</w:t>
      </w:r>
      <w:r>
        <w:rPr>
          <w:rFonts w:ascii="Times New Roman"/>
          <w:bCs/>
          <w:color w:val="auto"/>
          <w:szCs w:val="24"/>
        </w:rPr>
        <w:t>推理的领域知识图谱，推动复杂问题建模与认知智能跃迁；</w:t>
      </w:r>
      <w:r>
        <w:rPr>
          <w:rFonts w:hint="eastAsia" w:ascii="Times New Roman"/>
          <w:color w:val="auto"/>
          <w:szCs w:val="24"/>
        </w:rPr>
        <w:t>增强专业业务知识、实践性工具和应用性技能等多方面知识的掌握。</w:t>
      </w:r>
    </w:p>
    <w:p w14:paraId="3F391EA0">
      <w:pPr>
        <w:pStyle w:val="3"/>
        <w:ind w:firstLine="482"/>
        <w:rPr>
          <w:rFonts w:hint="eastAsia"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4．具备金融和经济现象的分析与思考能力，培养科技创新和实践开拓能力。</w:t>
      </w:r>
      <w:r>
        <w:rPr>
          <w:rFonts w:hint="eastAsia" w:ascii="Times New Roman"/>
          <w:color w:val="auto"/>
          <w:szCs w:val="24"/>
        </w:rPr>
        <w:t>了解金融理论研究和实务的前沿动态，具备较强的金融业务操作能力，</w:t>
      </w:r>
      <w:r>
        <w:rPr>
          <w:rFonts w:ascii="Times New Roman"/>
          <w:color w:val="auto"/>
          <w:szCs w:val="24"/>
        </w:rPr>
        <w:t>重视金融学知识和技能的培养，结合从业资格考试如</w:t>
      </w:r>
      <w:r>
        <w:rPr>
          <w:rFonts w:ascii="Times New Roman" w:hAnsi="Times New Roman"/>
          <w:color w:val="auto"/>
          <w:szCs w:val="24"/>
        </w:rPr>
        <w:t>CFA</w:t>
      </w:r>
      <w:r>
        <w:rPr>
          <w:rFonts w:ascii="Times New Roman"/>
          <w:color w:val="auto"/>
          <w:szCs w:val="24"/>
        </w:rPr>
        <w:t>（注册金融分析师）、</w:t>
      </w:r>
      <w:r>
        <w:rPr>
          <w:rFonts w:ascii="Times New Roman" w:hAnsi="Times New Roman"/>
          <w:color w:val="auto"/>
          <w:szCs w:val="24"/>
        </w:rPr>
        <w:t>FRM</w:t>
      </w:r>
      <w:r>
        <w:rPr>
          <w:rFonts w:ascii="Times New Roman"/>
          <w:color w:val="auto"/>
          <w:szCs w:val="24"/>
        </w:rPr>
        <w:t>（金融风险管理师）等</w:t>
      </w:r>
      <w:r>
        <w:rPr>
          <w:rFonts w:hint="eastAsia" w:ascii="Times New Roman"/>
          <w:color w:val="auto"/>
          <w:szCs w:val="24"/>
        </w:rPr>
        <w:t>实践</w:t>
      </w:r>
      <w:r>
        <w:rPr>
          <w:rFonts w:ascii="Times New Roman"/>
          <w:color w:val="auto"/>
          <w:szCs w:val="24"/>
        </w:rPr>
        <w:t>内容进行课程设置，以提升学生的就业竞争力。</w:t>
      </w:r>
      <w:r>
        <w:rPr>
          <w:rFonts w:hint="eastAsia" w:ascii="Times New Roman"/>
          <w:color w:val="auto"/>
          <w:szCs w:val="24"/>
        </w:rPr>
        <w:t>畅通</w:t>
      </w:r>
      <w:r>
        <w:rPr>
          <w:rFonts w:ascii="Segoe UI" w:hAnsi="Segoe UI" w:cs="Segoe UI"/>
          <w:color w:val="auto"/>
          <w:kern w:val="0"/>
          <w:szCs w:val="24"/>
        </w:rPr>
        <w:t>科教融汇机制</w:t>
      </w:r>
      <w:r>
        <w:rPr>
          <w:rFonts w:hint="eastAsia" w:ascii="Segoe UI" w:hAnsi="Segoe UI" w:cs="Segoe UI"/>
          <w:color w:val="auto"/>
          <w:kern w:val="0"/>
          <w:szCs w:val="24"/>
        </w:rPr>
        <w:t>、</w:t>
      </w:r>
      <w:r>
        <w:rPr>
          <w:rFonts w:hint="eastAsia" w:ascii="Times New Roman"/>
          <w:color w:val="auto"/>
          <w:szCs w:val="24"/>
        </w:rPr>
        <w:t>加入创新创业训练计划，培养学生科技创新能力。</w:t>
      </w:r>
    </w:p>
    <w:p w14:paraId="7F43F6B2">
      <w:pPr>
        <w:pStyle w:val="3"/>
        <w:ind w:firstLine="482"/>
        <w:rPr>
          <w:rFonts w:ascii="Times New Roman"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5．</w:t>
      </w:r>
      <w:bookmarkStart w:id="3" w:name="OLE_LINK25"/>
      <w:bookmarkStart w:id="4" w:name="OLE_LINK24"/>
      <w:r>
        <w:rPr>
          <w:rStyle w:val="11"/>
          <w:rFonts w:ascii="Segoe UI" w:hAnsi="Segoe UI" w:cs="Segoe UI"/>
          <w:color w:val="auto"/>
        </w:rPr>
        <w:t>具备全球化格局下的数据智能素养</w:t>
      </w:r>
      <w:r>
        <w:rPr>
          <w:rFonts w:hint="eastAsia" w:ascii="Times New Roman"/>
          <w:b/>
          <w:color w:val="auto"/>
          <w:szCs w:val="24"/>
        </w:rPr>
        <w:t>、熟悉国际惯例并</w:t>
      </w:r>
      <w:bookmarkEnd w:id="3"/>
      <w:bookmarkEnd w:id="4"/>
      <w:r>
        <w:rPr>
          <w:rFonts w:hint="eastAsia" w:ascii="Times New Roman"/>
          <w:b/>
          <w:color w:val="auto"/>
          <w:szCs w:val="24"/>
        </w:rPr>
        <w:t>拓展智能技术工具。</w:t>
      </w:r>
      <w:r>
        <w:rPr>
          <w:rFonts w:hint="eastAsia" w:ascii="Times New Roman"/>
          <w:color w:val="auto"/>
          <w:szCs w:val="24"/>
        </w:rPr>
        <w:t>掌握一门外语，具备较好的语言表达和沟通协调能力；能够使用书面和口头表达方式与国内外业界同行、社会公众就本专业领域现象和问题进行有效沟通与交流；能够熟练借助大模型和技术处理并分析国内外本专业领域数据信息，完成所从事的专业领域任务。</w:t>
      </w:r>
    </w:p>
    <w:p w14:paraId="7706E9EF">
      <w:pPr>
        <w:pStyle w:val="3"/>
        <w:ind w:firstLine="482"/>
        <w:rPr>
          <w:rFonts w:ascii="Times New Roman"/>
          <w:bCs/>
          <w:color w:val="auto"/>
          <w:szCs w:val="24"/>
        </w:rPr>
      </w:pPr>
      <w:r>
        <w:rPr>
          <w:rFonts w:hint="eastAsia" w:ascii="Times New Roman"/>
          <w:b/>
          <w:color w:val="auto"/>
          <w:szCs w:val="24"/>
        </w:rPr>
        <w:t>6</w:t>
      </w:r>
      <w:r>
        <w:rPr>
          <w:rFonts w:ascii="Times New Roman"/>
          <w:b/>
          <w:color w:val="auto"/>
          <w:szCs w:val="24"/>
        </w:rPr>
        <w:t>．</w:t>
      </w:r>
      <w:bookmarkStart w:id="5" w:name="OLE_LINK26"/>
      <w:bookmarkStart w:id="6" w:name="OLE_LINK27"/>
      <w:r>
        <w:rPr>
          <w:rFonts w:hint="eastAsia" w:ascii="Times New Roman"/>
          <w:b/>
          <w:color w:val="auto"/>
          <w:szCs w:val="24"/>
        </w:rPr>
        <w:t>具有长期自我学习的能力、科研创新的思维意识和基本方法、强化</w:t>
      </w:r>
      <w:r>
        <w:rPr>
          <w:rStyle w:val="11"/>
          <w:rFonts w:ascii="Segoe UI" w:hAnsi="Segoe UI" w:cs="Segoe UI"/>
          <w:color w:val="auto"/>
          <w:shd w:val="clear" w:color="auto" w:fill="FCFCFC"/>
        </w:rPr>
        <w:t>数智适应能力</w:t>
      </w:r>
      <w:r>
        <w:rPr>
          <w:rFonts w:hint="eastAsia" w:ascii="Times New Roman"/>
          <w:b/>
          <w:color w:val="auto"/>
          <w:szCs w:val="24"/>
        </w:rPr>
        <w:t>。</w:t>
      </w:r>
      <w:r>
        <w:rPr>
          <w:rFonts w:hint="eastAsia" w:ascii="Times New Roman"/>
          <w:color w:val="auto"/>
          <w:szCs w:val="24"/>
        </w:rPr>
        <w:t>注重自身科研创新能力的培养，掌握科研创新的基本方法和思维逻辑，适应继续深造学习的研究需要。具备长期自我学习的意识和能力，</w:t>
      </w:r>
      <w:bookmarkEnd w:id="5"/>
      <w:bookmarkEnd w:id="6"/>
      <w:r>
        <w:rPr>
          <w:rFonts w:hint="eastAsia" w:ascii="Times New Roman"/>
          <w:bCs/>
          <w:color w:val="auto"/>
          <w:szCs w:val="24"/>
        </w:rPr>
        <w:t>转化</w:t>
      </w:r>
      <w:r>
        <w:rPr>
          <w:rFonts w:ascii="Times New Roman"/>
          <w:bCs/>
          <w:color w:val="auto"/>
          <w:szCs w:val="24"/>
        </w:rPr>
        <w:t>线性学习到人机互学思维方式，</w:t>
      </w:r>
      <w:r>
        <w:rPr>
          <w:rFonts w:hint="eastAsia" w:ascii="Times New Roman"/>
          <w:color w:val="auto"/>
          <w:szCs w:val="24"/>
        </w:rPr>
        <w:t>坚持</w:t>
      </w:r>
      <w:r>
        <w:rPr>
          <w:rFonts w:ascii="Times New Roman"/>
          <w:bCs/>
          <w:color w:val="auto"/>
          <w:szCs w:val="24"/>
        </w:rPr>
        <w:t>动态学习与模型共进化</w:t>
      </w:r>
      <w:r>
        <w:rPr>
          <w:rFonts w:hint="eastAsia" w:ascii="Times New Roman"/>
          <w:bCs/>
          <w:color w:val="auto"/>
          <w:szCs w:val="24"/>
        </w:rPr>
        <w:t>，主动适应</w:t>
      </w:r>
      <w:r>
        <w:rPr>
          <w:rFonts w:ascii="Times New Roman"/>
          <w:bCs/>
          <w:color w:val="auto"/>
          <w:szCs w:val="24"/>
        </w:rPr>
        <w:t>大语言模型驱动认知革命的新</w:t>
      </w:r>
      <w:r>
        <w:rPr>
          <w:rFonts w:hint="eastAsia" w:ascii="Times New Roman"/>
          <w:bCs/>
          <w:color w:val="auto"/>
          <w:szCs w:val="24"/>
        </w:rPr>
        <w:t>要求</w:t>
      </w:r>
      <w:r>
        <w:rPr>
          <w:rFonts w:ascii="Times New Roman"/>
          <w:bCs/>
          <w:color w:val="auto"/>
          <w:szCs w:val="24"/>
        </w:rPr>
        <w:t>。</w:t>
      </w:r>
    </w:p>
    <w:p w14:paraId="0FF39CC8">
      <w:pPr>
        <w:pStyle w:val="3"/>
        <w:ind w:firstLine="482"/>
        <w:rPr>
          <w:rFonts w:hint="eastAsia" w:ascii="Times New Roman"/>
          <w:bCs/>
          <w:color w:val="auto"/>
          <w:szCs w:val="24"/>
        </w:rPr>
      </w:pPr>
      <w:r>
        <w:rPr>
          <w:rFonts w:hint="eastAsia" w:ascii="Times New Roman"/>
          <w:b/>
          <w:bCs w:val="0"/>
          <w:color w:val="auto"/>
          <w:szCs w:val="24"/>
          <w:lang w:val="en-US" w:eastAsia="zh-CN"/>
        </w:rPr>
        <w:t>7. 具有良好的</w:t>
      </w:r>
      <w:r>
        <w:rPr>
          <w:rFonts w:hint="eastAsia" w:ascii="Times New Roman"/>
          <w:b/>
          <w:bCs w:val="0"/>
          <w:color w:val="auto"/>
          <w:szCs w:val="24"/>
        </w:rPr>
        <w:t>身心健康与团队协作</w:t>
      </w:r>
      <w:r>
        <w:rPr>
          <w:rFonts w:hint="eastAsia" w:ascii="Times New Roman"/>
          <w:b/>
          <w:bCs w:val="0"/>
          <w:color w:val="auto"/>
          <w:szCs w:val="24"/>
          <w:lang w:val="en-US" w:eastAsia="zh-CN"/>
        </w:rPr>
        <w:t>能力。</w:t>
      </w:r>
      <w:r>
        <w:rPr>
          <w:rFonts w:hint="eastAsia" w:ascii="Times New Roman"/>
          <w:bCs/>
          <w:color w:val="auto"/>
          <w:szCs w:val="24"/>
        </w:rPr>
        <w:t>通过体育课程及实践活动保持强健体魄，具备抗压能力与团队领导力，能够在高强度金融工作中保持高效协作，通过学生体质健康测试是毕业条件之一。</w:t>
      </w:r>
    </w:p>
    <w:p w14:paraId="153313C5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三</w:t>
      </w:r>
      <w:r>
        <w:rPr>
          <w:rFonts w:ascii="Times New Roman"/>
          <w:b/>
          <w:color w:val="auto"/>
        </w:rPr>
        <w:t>、</w:t>
      </w:r>
      <w:r>
        <w:rPr>
          <w:rFonts w:hint="eastAsia" w:ascii="Times New Roman"/>
          <w:b/>
          <w:color w:val="auto"/>
        </w:rPr>
        <w:t>核心</w:t>
      </w:r>
      <w:r>
        <w:rPr>
          <w:rFonts w:ascii="Times New Roman"/>
          <w:b/>
          <w:color w:val="auto"/>
        </w:rPr>
        <w:t>课程</w:t>
      </w:r>
    </w:p>
    <w:p w14:paraId="67607A33">
      <w:pPr>
        <w:spacing w:line="360" w:lineRule="auto"/>
        <w:ind w:firstLine="480" w:firstLineChars="200"/>
        <w:rPr>
          <w:rFonts w:ascii="Times New Roman" w:hAnsi="宋体"/>
          <w:color w:val="auto"/>
          <w:sz w:val="24"/>
          <w:szCs w:val="24"/>
        </w:rPr>
      </w:pPr>
      <w:r>
        <w:rPr>
          <w:rFonts w:ascii="Times New Roman" w:hAnsi="宋体"/>
          <w:color w:val="auto"/>
          <w:sz w:val="24"/>
          <w:szCs w:val="24"/>
        </w:rPr>
        <w:t>微观经济学、宏观经济学、</w:t>
      </w:r>
      <w:r>
        <w:rPr>
          <w:rFonts w:hint="eastAsia" w:ascii="Times New Roman" w:hAnsi="宋体"/>
          <w:color w:val="auto"/>
          <w:sz w:val="24"/>
          <w:szCs w:val="24"/>
        </w:rPr>
        <w:t>政治经济学、金融学课导论、金融学</w:t>
      </w:r>
      <w:r>
        <w:rPr>
          <w:rFonts w:ascii="Times New Roman" w:hAnsi="宋体"/>
          <w:color w:val="auto"/>
          <w:sz w:val="24"/>
          <w:szCs w:val="24"/>
        </w:rPr>
        <w:t>、国际金融学、</w:t>
      </w:r>
      <w:r>
        <w:rPr>
          <w:rFonts w:hint="eastAsia" w:ascii="Times New Roman" w:hAnsi="宋体"/>
          <w:color w:val="auto"/>
          <w:sz w:val="24"/>
          <w:szCs w:val="24"/>
        </w:rPr>
        <w:t>投资学、</w:t>
      </w:r>
      <w:r>
        <w:rPr>
          <w:rFonts w:ascii="Times New Roman" w:hAnsi="宋体"/>
          <w:color w:val="auto"/>
          <w:sz w:val="24"/>
          <w:szCs w:val="24"/>
        </w:rPr>
        <w:t>商业银行经营</w:t>
      </w:r>
      <w:r>
        <w:rPr>
          <w:rFonts w:hint="eastAsia" w:ascii="Times New Roman" w:hAnsi="宋体"/>
          <w:color w:val="auto"/>
          <w:sz w:val="24"/>
          <w:szCs w:val="24"/>
        </w:rPr>
        <w:t>管理</w:t>
      </w:r>
      <w:r>
        <w:rPr>
          <w:rFonts w:ascii="Times New Roman" w:hAnsi="宋体"/>
          <w:color w:val="auto"/>
          <w:sz w:val="24"/>
          <w:szCs w:val="24"/>
        </w:rPr>
        <w:t>、公司金融、</w:t>
      </w:r>
      <w:r>
        <w:rPr>
          <w:rFonts w:hint="eastAsia" w:ascii="Times New Roman" w:hAnsi="宋体"/>
          <w:color w:val="auto"/>
          <w:sz w:val="24"/>
          <w:szCs w:val="24"/>
        </w:rPr>
        <w:t>衍生金融工具</w:t>
      </w:r>
      <w:r>
        <w:rPr>
          <w:rFonts w:ascii="Times New Roman" w:hAnsi="宋体"/>
          <w:color w:val="auto"/>
          <w:sz w:val="24"/>
          <w:szCs w:val="24"/>
        </w:rPr>
        <w:t>等。</w:t>
      </w:r>
    </w:p>
    <w:p w14:paraId="1F7D9C99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四</w:t>
      </w:r>
      <w:r>
        <w:rPr>
          <w:rFonts w:ascii="Times New Roman"/>
          <w:b/>
          <w:color w:val="auto"/>
        </w:rPr>
        <w:t>、培养特色</w:t>
      </w:r>
    </w:p>
    <w:p w14:paraId="05AC8516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 xml:space="preserve">1．培养复合型创新人才，拓展国际化视野。 </w:t>
      </w:r>
      <w:r>
        <w:rPr>
          <w:rFonts w:hint="eastAsia" w:ascii="Times New Roman" w:hAnsi="Times New Roman"/>
          <w:color w:val="auto"/>
          <w:szCs w:val="24"/>
        </w:rPr>
        <w:t>夯实金融学理论基础，优化知识结构，强化个性发展，提升跨学科协作与自主学习能力。依托“数智+”育人理念，拓展国际国内交流实践，构建经、管、法融合的综合能力培养体系。</w:t>
      </w:r>
    </w:p>
    <w:p w14:paraId="5AE68088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>2．深化科研与实践融合，提升金融实务能力。</w:t>
      </w:r>
      <w:r>
        <w:rPr>
          <w:rFonts w:hint="eastAsia" w:ascii="Times New Roman" w:hAnsi="Times New Roman"/>
          <w:color w:val="auto"/>
          <w:szCs w:val="24"/>
        </w:rPr>
        <w:t xml:space="preserve"> 建立高水平实践基地，加强与行业机构合作，优化实验与实习教学，增强金融实务操作能力。通过案例分析、金融科技实验等训练，培养学生解决复杂金融问题的分析力与创造力。</w:t>
      </w:r>
    </w:p>
    <w:p w14:paraId="4D5F11FF">
      <w:pPr>
        <w:pStyle w:val="3"/>
        <w:ind w:firstLine="482"/>
        <w:rPr>
          <w:rFonts w:hint="eastAsia" w:ascii="Times New Roman" w:hAnsi="Times New Roman"/>
          <w:color w:val="auto"/>
          <w:szCs w:val="24"/>
        </w:rPr>
      </w:pPr>
      <w:r>
        <w:rPr>
          <w:rFonts w:hint="eastAsia" w:ascii="Times New Roman" w:hAnsi="Times New Roman"/>
          <w:b/>
          <w:bCs/>
          <w:color w:val="auto"/>
          <w:szCs w:val="24"/>
        </w:rPr>
        <w:t>3．强化职业技能训练，培养高端金融人才。</w:t>
      </w:r>
      <w:r>
        <w:rPr>
          <w:rFonts w:hint="eastAsia" w:ascii="Times New Roman" w:hAnsi="Times New Roman"/>
          <w:color w:val="auto"/>
          <w:szCs w:val="24"/>
        </w:rPr>
        <w:t>结合CFA、FRM等资格考试优化课程体系，提升量化投资与智能分析能力。依托优势学科推进学科交叉，构建多样化拔尖创新人才培养模式，助力金融科技前沿人才成长。</w: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9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1</w:t>
            </w:r>
            <w:r>
              <w:rPr>
                <w:rFonts w:hint="eastAsia" w:eastAsiaTheme="minorEastAsia"/>
                <w:sz w:val="24"/>
                <w:lang w:val="en-US" w:eastAsia="zh-CN"/>
              </w:rPr>
              <w:t>0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26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eastAsia"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142</w:t>
            </w:r>
          </w:p>
        </w:tc>
      </w:tr>
    </w:tbl>
    <w:p w14:paraId="0DAC5D56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3641DDF">
      <w:pPr>
        <w:pStyle w:val="7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/>
          <w:b/>
          <w:color w:val="auto"/>
        </w:rPr>
      </w:pPr>
      <w:r>
        <w:rPr>
          <w:rFonts w:hint="eastAsia" w:ascii="Times New Roman"/>
          <w:b/>
          <w:color w:val="auto"/>
        </w:rPr>
        <w:t>六</w:t>
      </w:r>
      <w:r>
        <w:rPr>
          <w:rFonts w:ascii="Times New Roman"/>
          <w:b/>
          <w:color w:val="auto"/>
        </w:rPr>
        <w:t>、学分一览表</w:t>
      </w:r>
      <w:bookmarkStart w:id="7" w:name="_GoBack"/>
      <w:bookmarkEnd w:id="7"/>
    </w:p>
    <w:p w14:paraId="47AE8E8F">
      <w:pPr>
        <w:pStyle w:val="18"/>
        <w:widowControl/>
        <w:numPr>
          <w:ilvl w:val="0"/>
          <w:numId w:val="0"/>
        </w:numPr>
        <w:spacing w:line="360" w:lineRule="auto"/>
        <w:jc w:val="both"/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</w:pPr>
    </w:p>
    <w:p w14:paraId="597555B3">
      <w:pPr>
        <w:spacing w:line="360" w:lineRule="auto"/>
        <w:jc w:val="center"/>
        <w:rPr>
          <w:rFonts w:ascii="Times New Roman" w:hAnsi="Times New Roman"/>
          <w:b/>
          <w:color w:val="auto"/>
          <w:sz w:val="24"/>
        </w:rPr>
      </w:pPr>
      <w:r>
        <w:rPr>
          <w:rFonts w:ascii="Times New Roman" w:hAnsi="宋体"/>
          <w:b/>
          <w:color w:val="auto"/>
          <w:sz w:val="24"/>
        </w:rPr>
        <w:t>总学分一览表</w:t>
      </w:r>
    </w:p>
    <w:tbl>
      <w:tblPr>
        <w:tblStyle w:val="9"/>
        <w:tblW w:w="860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559"/>
        <w:gridCol w:w="690"/>
        <w:gridCol w:w="1546"/>
        <w:gridCol w:w="883"/>
        <w:gridCol w:w="1134"/>
        <w:gridCol w:w="1864"/>
      </w:tblGrid>
      <w:tr w14:paraId="55F5D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A37D3DF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auto"/>
                <w:kern w:val="0"/>
                <w:sz w:val="22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827FE8E">
            <w:pPr>
              <w:widowControl/>
              <w:spacing w:line="360" w:lineRule="auto"/>
              <w:jc w:val="center"/>
              <w:rPr>
                <w:rFonts w:ascii="Times New Roman" w:hAnsi="Times New Roman"/>
                <w:b/>
                <w:color w:val="auto"/>
                <w:kern w:val="0"/>
                <w:sz w:val="22"/>
              </w:rPr>
            </w:pPr>
            <w:r>
              <w:rPr>
                <w:rFonts w:ascii="Times New Roman" w:hAnsi="宋体"/>
                <w:b/>
                <w:color w:val="auto"/>
                <w:kern w:val="0"/>
                <w:sz w:val="22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7779A96B">
            <w:pPr>
              <w:widowControl/>
              <w:spacing w:line="360" w:lineRule="auto"/>
              <w:jc w:val="center"/>
              <w:rPr>
                <w:b/>
                <w:color w:val="auto"/>
                <w:kern w:val="0"/>
                <w:sz w:val="22"/>
              </w:rPr>
            </w:pPr>
            <w:r>
              <w:rPr>
                <w:b/>
                <w:color w:val="auto"/>
                <w:kern w:val="0"/>
                <w:sz w:val="22"/>
              </w:rPr>
              <w:t>理论与实践教学比例（%）</w:t>
            </w:r>
          </w:p>
        </w:tc>
      </w:tr>
      <w:tr w14:paraId="5D948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F484B8D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42</w:t>
            </w: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6A34E20B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43D70A10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F40CE2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理论教学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8B008E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ascii="Times New Roman" w:hAnsi="Times New Roman"/>
                <w:color w:val="auto"/>
                <w:kern w:val="0"/>
                <w:szCs w:val="21"/>
              </w:rPr>
              <w:t>1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5CF32F7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理论教学</w:t>
            </w:r>
          </w:p>
        </w:tc>
        <w:tc>
          <w:tcPr>
            <w:tcW w:w="1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3827C0D3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78.9</w:t>
            </w:r>
          </w:p>
        </w:tc>
      </w:tr>
      <w:tr w14:paraId="35D41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58F7237C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C42E013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BB03201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53FA969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实验教学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EA09B7C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12DFA654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实践教学</w:t>
            </w:r>
          </w:p>
        </w:tc>
        <w:tc>
          <w:tcPr>
            <w:tcW w:w="18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vAlign w:val="center"/>
          </w:tcPr>
          <w:p w14:paraId="35D9953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21.1</w:t>
            </w:r>
          </w:p>
        </w:tc>
      </w:tr>
      <w:tr w14:paraId="42253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7E34E31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C0EB7B6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课外教学环节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566C600E">
            <w:pPr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2516D2BD">
            <w:pPr>
              <w:widowControl/>
              <w:spacing w:line="360" w:lineRule="auto"/>
              <w:jc w:val="center"/>
              <w:rPr>
                <w:rFonts w:ascii="Times New Roman" w:hAnsi="Times New Roman"/>
                <w:color w:val="auto"/>
                <w:kern w:val="0"/>
                <w:szCs w:val="21"/>
              </w:rPr>
            </w:pPr>
            <w:r>
              <w:rPr>
                <w:rFonts w:ascii="Times New Roman" w:hAnsi="宋体"/>
                <w:color w:val="auto"/>
                <w:kern w:val="0"/>
                <w:szCs w:val="21"/>
              </w:rPr>
              <w:t>实习、军训等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697B9934">
            <w:pPr>
              <w:widowControl/>
              <w:spacing w:line="360" w:lineRule="auto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lang w:val="en-US" w:eastAsia="zh-CN"/>
              </w:rPr>
              <w:t>27</w:t>
            </w: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36A98C37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73F99E3F">
            <w:pPr>
              <w:widowControl/>
              <w:spacing w:line="360" w:lineRule="auto"/>
              <w:jc w:val="left"/>
              <w:rPr>
                <w:rFonts w:ascii="Times New Roman" w:hAnsi="Times New Roman"/>
                <w:color w:val="auto"/>
                <w:kern w:val="0"/>
                <w:szCs w:val="21"/>
              </w:rPr>
            </w:pPr>
          </w:p>
        </w:tc>
      </w:tr>
    </w:tbl>
    <w:p w14:paraId="4ECBE84E">
      <w:pPr>
        <w:pStyle w:val="7"/>
        <w:tabs>
          <w:tab w:val="left" w:pos="1380"/>
        </w:tabs>
        <w:spacing w:before="0" w:beforeAutospacing="0" w:after="0" w:afterAutospacing="0" w:line="360" w:lineRule="auto"/>
        <w:rPr>
          <w:rFonts w:ascii="Times New Roman"/>
          <w:b/>
          <w:bCs/>
          <w:color w:val="auto"/>
        </w:rPr>
      </w:pPr>
    </w:p>
    <w:p w14:paraId="0237DAF5">
      <w:pPr>
        <w:pStyle w:val="18"/>
        <w:widowControl/>
        <w:numPr>
          <w:ilvl w:val="0"/>
          <w:numId w:val="0"/>
        </w:numPr>
        <w:spacing w:line="360" w:lineRule="auto"/>
        <w:jc w:val="center"/>
        <w:rPr>
          <w:rFonts w:hint="eastAsia" w:ascii="仿宋_GB2312" w:hAnsi="仿宋" w:eastAsia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kern w:val="0"/>
          <w:sz w:val="24"/>
          <w:szCs w:val="32"/>
          <w14:textFill>
            <w14:solidFill>
              <w14:schemeClr w14:val="tx1"/>
            </w14:solidFill>
          </w14:textFill>
        </w:rPr>
        <w:t>课堂教学学分分配表</w:t>
      </w:r>
    </w:p>
    <w:tbl>
      <w:tblPr>
        <w:tblStyle w:val="9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59D454F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3292D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教学环节</w:t>
            </w:r>
          </w:p>
        </w:tc>
        <w:tc>
          <w:tcPr>
            <w:tcW w:w="2762" w:type="dxa"/>
          </w:tcPr>
          <w:p w14:paraId="5D50950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592" w:type="dxa"/>
          </w:tcPr>
          <w:p w14:paraId="5AE8E9D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门数</w:t>
            </w:r>
          </w:p>
        </w:tc>
        <w:tc>
          <w:tcPr>
            <w:tcW w:w="1696" w:type="dxa"/>
          </w:tcPr>
          <w:p w14:paraId="4577AB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 w14:paraId="4365CA2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76720C4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</w:t>
            </w:r>
          </w:p>
        </w:tc>
        <w:tc>
          <w:tcPr>
            <w:tcW w:w="2762" w:type="dxa"/>
          </w:tcPr>
          <w:p w14:paraId="67730B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通识教育必修课</w:t>
            </w:r>
          </w:p>
        </w:tc>
        <w:tc>
          <w:tcPr>
            <w:tcW w:w="1592" w:type="dxa"/>
          </w:tcPr>
          <w:p w14:paraId="2148DB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96" w:type="dxa"/>
          </w:tcPr>
          <w:p w14:paraId="586BA9E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 w14:paraId="2732AF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17BE4FC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2" w:type="dxa"/>
          </w:tcPr>
          <w:p w14:paraId="39D8F4A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通识教育选修课</w:t>
            </w:r>
          </w:p>
        </w:tc>
        <w:tc>
          <w:tcPr>
            <w:tcW w:w="1592" w:type="dxa"/>
          </w:tcPr>
          <w:p w14:paraId="6BC6E25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3815F60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 w14:paraId="5FABE8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2C1DA08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2762" w:type="dxa"/>
          </w:tcPr>
          <w:p w14:paraId="4F82FDF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</w:tc>
        <w:tc>
          <w:tcPr>
            <w:tcW w:w="1592" w:type="dxa"/>
          </w:tcPr>
          <w:p w14:paraId="24C02A3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6" w:type="dxa"/>
          </w:tcPr>
          <w:p w14:paraId="0C86B94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</w:tr>
      <w:tr w14:paraId="09F6F2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2B8D9B4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62" w:type="dxa"/>
          </w:tcPr>
          <w:p w14:paraId="34A5D0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</w:tc>
        <w:tc>
          <w:tcPr>
            <w:tcW w:w="1592" w:type="dxa"/>
          </w:tcPr>
          <w:p w14:paraId="622BBCB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006086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 w14:paraId="520A47D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6B52327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62" w:type="dxa"/>
          </w:tcPr>
          <w:p w14:paraId="122BF90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</w:tcPr>
          <w:p w14:paraId="76EF933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696" w:type="dxa"/>
          </w:tcPr>
          <w:p w14:paraId="15BBC81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b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</w:tbl>
    <w:p w14:paraId="768F52F0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color w:val="auto"/>
          <w:kern w:val="0"/>
          <w:sz w:val="24"/>
          <w:szCs w:val="32"/>
        </w:rPr>
      </w:pPr>
    </w:p>
    <w:p w14:paraId="4C4AFC65">
      <w:pPr>
        <w:pStyle w:val="18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9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671BF0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5898D92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3FC8DB9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2F4EC0A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A832D7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7CADC9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ADC952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1E8E1C8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205376D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1E891A1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91077D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50649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4E619DCF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48220F3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F5A2D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578382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36B998B1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37A0437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4F604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539E95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F0D3382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9F3E7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460AC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54094D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2A86B4C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3DA5C0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04E8FB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13BA30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42723C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578D04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AD8AFD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6F1C94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C10EB1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2CD11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728C349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370C821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4EFF6FE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3A33E9B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06AAFFF2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470AB70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D733FA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94945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961E3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7A0AF6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582365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6CB01A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01302B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F65B4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9A752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386219C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E984FA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24E6309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5D50A3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B49DB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00E485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97AE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30F36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00396335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6F87A5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EAF1A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879F9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457EB8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14A154F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00C095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1C08B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03F49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11E1604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375A366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7066F6F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FC339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009BEC8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F1857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金融风险管理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38ED3E2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7743260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2D0350F6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30.5</w:t>
            </w:r>
          </w:p>
        </w:tc>
      </w:tr>
    </w:tbl>
    <w:p w14:paraId="42A9DE7D">
      <w:pPr>
        <w:pStyle w:val="18"/>
        <w:widowControl/>
        <w:spacing w:before="312" w:beforeLines="100" w:line="360" w:lineRule="auto"/>
        <w:ind w:left="420" w:firstLine="0" w:firstLineChars="0"/>
        <w:jc w:val="left"/>
        <w:rPr>
          <w:color w:val="auto"/>
        </w:rPr>
      </w:pPr>
      <w:r>
        <w:rPr>
          <w:rFonts w:hint="eastAsia" w:ascii="宋体" w:hAnsi="宋体"/>
          <w:b/>
          <w:bCs/>
          <w:color w:val="auto"/>
          <w:kern w:val="0"/>
          <w:sz w:val="24"/>
          <w:szCs w:val="32"/>
        </w:rPr>
        <w:t>七、本科学分制指导性教学计划表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3441CA-BEEC-4AEB-9B86-44B2C58050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91F0B43-A613-406E-87D9-23A6C4D595A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0FBDF5D5-6588-4BC2-A52B-95B08BD5B9E7}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  <w:embedRegular r:id="rId4" w:fontKey="{F7F8C753-1EAA-4292-B44B-003B052E599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9671E1D8-8B6F-4A1F-860F-06FC183AE23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C3C8D662-3EC9-4A9D-8342-F0911CED72B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2ZjJhZTc0NDQyYzNiMmY0N2I1ZWU1Mzc3ODY1ODIifQ=="/>
  </w:docVars>
  <w:rsids>
    <w:rsidRoot w:val="00903E08"/>
    <w:rsid w:val="0000223F"/>
    <w:rsid w:val="0002571C"/>
    <w:rsid w:val="00026D0A"/>
    <w:rsid w:val="00033E1B"/>
    <w:rsid w:val="00035EB9"/>
    <w:rsid w:val="00040F15"/>
    <w:rsid w:val="00045B1C"/>
    <w:rsid w:val="00050F7A"/>
    <w:rsid w:val="00066670"/>
    <w:rsid w:val="000731C4"/>
    <w:rsid w:val="000B723F"/>
    <w:rsid w:val="000D40A0"/>
    <w:rsid w:val="000E2596"/>
    <w:rsid w:val="00114BE3"/>
    <w:rsid w:val="0011744F"/>
    <w:rsid w:val="00117DFF"/>
    <w:rsid w:val="0012620D"/>
    <w:rsid w:val="001372E7"/>
    <w:rsid w:val="00146FF9"/>
    <w:rsid w:val="00156CA4"/>
    <w:rsid w:val="0017197E"/>
    <w:rsid w:val="00197A9E"/>
    <w:rsid w:val="001B77AF"/>
    <w:rsid w:val="001D28A6"/>
    <w:rsid w:val="001F0747"/>
    <w:rsid w:val="002032E6"/>
    <w:rsid w:val="00207A68"/>
    <w:rsid w:val="00211DED"/>
    <w:rsid w:val="002243D9"/>
    <w:rsid w:val="00237703"/>
    <w:rsid w:val="00251661"/>
    <w:rsid w:val="00251730"/>
    <w:rsid w:val="00256251"/>
    <w:rsid w:val="00271684"/>
    <w:rsid w:val="002749AA"/>
    <w:rsid w:val="002A4EED"/>
    <w:rsid w:val="002C0768"/>
    <w:rsid w:val="002C2955"/>
    <w:rsid w:val="002C512E"/>
    <w:rsid w:val="002C7F13"/>
    <w:rsid w:val="002F2F00"/>
    <w:rsid w:val="003011C6"/>
    <w:rsid w:val="003025A6"/>
    <w:rsid w:val="00315BF5"/>
    <w:rsid w:val="00321965"/>
    <w:rsid w:val="00323FFC"/>
    <w:rsid w:val="0034464C"/>
    <w:rsid w:val="00353804"/>
    <w:rsid w:val="00371134"/>
    <w:rsid w:val="003841E6"/>
    <w:rsid w:val="00385DD1"/>
    <w:rsid w:val="00391E1F"/>
    <w:rsid w:val="003B4ABB"/>
    <w:rsid w:val="003D5F17"/>
    <w:rsid w:val="003E4860"/>
    <w:rsid w:val="003F1016"/>
    <w:rsid w:val="003F78EF"/>
    <w:rsid w:val="0040490A"/>
    <w:rsid w:val="00416C5D"/>
    <w:rsid w:val="004325A9"/>
    <w:rsid w:val="00451250"/>
    <w:rsid w:val="00454F09"/>
    <w:rsid w:val="00461520"/>
    <w:rsid w:val="0046607E"/>
    <w:rsid w:val="004663C5"/>
    <w:rsid w:val="004A2E71"/>
    <w:rsid w:val="004C0922"/>
    <w:rsid w:val="004C6A84"/>
    <w:rsid w:val="004E7E40"/>
    <w:rsid w:val="004F7C29"/>
    <w:rsid w:val="00501A2D"/>
    <w:rsid w:val="00505654"/>
    <w:rsid w:val="005112D2"/>
    <w:rsid w:val="0051446E"/>
    <w:rsid w:val="00521B2A"/>
    <w:rsid w:val="00527FF1"/>
    <w:rsid w:val="00536FDE"/>
    <w:rsid w:val="005431DF"/>
    <w:rsid w:val="005464B3"/>
    <w:rsid w:val="00552BDE"/>
    <w:rsid w:val="00561813"/>
    <w:rsid w:val="0057031E"/>
    <w:rsid w:val="005723EB"/>
    <w:rsid w:val="00573407"/>
    <w:rsid w:val="0058561C"/>
    <w:rsid w:val="00586FCC"/>
    <w:rsid w:val="00590CBE"/>
    <w:rsid w:val="0059727E"/>
    <w:rsid w:val="005A5DE6"/>
    <w:rsid w:val="005B1A52"/>
    <w:rsid w:val="005C556A"/>
    <w:rsid w:val="005F1636"/>
    <w:rsid w:val="0060351B"/>
    <w:rsid w:val="00611365"/>
    <w:rsid w:val="006237BD"/>
    <w:rsid w:val="00640A28"/>
    <w:rsid w:val="00641857"/>
    <w:rsid w:val="00642F0C"/>
    <w:rsid w:val="0066423B"/>
    <w:rsid w:val="00674388"/>
    <w:rsid w:val="006813F2"/>
    <w:rsid w:val="006A32E6"/>
    <w:rsid w:val="006A5B64"/>
    <w:rsid w:val="006D4493"/>
    <w:rsid w:val="006E27E3"/>
    <w:rsid w:val="006E2819"/>
    <w:rsid w:val="006F1EC1"/>
    <w:rsid w:val="006F68BD"/>
    <w:rsid w:val="0072255E"/>
    <w:rsid w:val="00726DD9"/>
    <w:rsid w:val="00761EA6"/>
    <w:rsid w:val="00764743"/>
    <w:rsid w:val="007E7AAD"/>
    <w:rsid w:val="007F2D5A"/>
    <w:rsid w:val="008073D7"/>
    <w:rsid w:val="00811E53"/>
    <w:rsid w:val="00817CF1"/>
    <w:rsid w:val="00821CFB"/>
    <w:rsid w:val="00854C77"/>
    <w:rsid w:val="008558DC"/>
    <w:rsid w:val="00875E2D"/>
    <w:rsid w:val="00886105"/>
    <w:rsid w:val="008A0FEF"/>
    <w:rsid w:val="008A4B83"/>
    <w:rsid w:val="008B1CE0"/>
    <w:rsid w:val="008B4CF8"/>
    <w:rsid w:val="008C57F5"/>
    <w:rsid w:val="008C7ABF"/>
    <w:rsid w:val="008F0025"/>
    <w:rsid w:val="00900CCB"/>
    <w:rsid w:val="00903E08"/>
    <w:rsid w:val="00920901"/>
    <w:rsid w:val="00926848"/>
    <w:rsid w:val="009316BC"/>
    <w:rsid w:val="009347EA"/>
    <w:rsid w:val="00946CDB"/>
    <w:rsid w:val="00951FA2"/>
    <w:rsid w:val="00956D52"/>
    <w:rsid w:val="009815E8"/>
    <w:rsid w:val="009D09E6"/>
    <w:rsid w:val="009D5A79"/>
    <w:rsid w:val="009E0AAC"/>
    <w:rsid w:val="009E0F27"/>
    <w:rsid w:val="009E60D0"/>
    <w:rsid w:val="009F0DCA"/>
    <w:rsid w:val="00A11CE7"/>
    <w:rsid w:val="00A12146"/>
    <w:rsid w:val="00A42193"/>
    <w:rsid w:val="00A51967"/>
    <w:rsid w:val="00A6182C"/>
    <w:rsid w:val="00A61AB9"/>
    <w:rsid w:val="00A65E1C"/>
    <w:rsid w:val="00A70CE3"/>
    <w:rsid w:val="00AB2863"/>
    <w:rsid w:val="00AB414B"/>
    <w:rsid w:val="00AB6CE7"/>
    <w:rsid w:val="00AC1E78"/>
    <w:rsid w:val="00AC66FC"/>
    <w:rsid w:val="00AE25C5"/>
    <w:rsid w:val="00AF34B4"/>
    <w:rsid w:val="00B07FB0"/>
    <w:rsid w:val="00B20C14"/>
    <w:rsid w:val="00B22DBB"/>
    <w:rsid w:val="00B2782E"/>
    <w:rsid w:val="00B343D4"/>
    <w:rsid w:val="00B5065C"/>
    <w:rsid w:val="00B60F89"/>
    <w:rsid w:val="00B65699"/>
    <w:rsid w:val="00B72CDA"/>
    <w:rsid w:val="00B821E2"/>
    <w:rsid w:val="00B8444D"/>
    <w:rsid w:val="00B90ADB"/>
    <w:rsid w:val="00B93A06"/>
    <w:rsid w:val="00BA6072"/>
    <w:rsid w:val="00BE56B4"/>
    <w:rsid w:val="00C040C2"/>
    <w:rsid w:val="00C1235E"/>
    <w:rsid w:val="00C222FF"/>
    <w:rsid w:val="00C256CA"/>
    <w:rsid w:val="00C308FD"/>
    <w:rsid w:val="00C540F4"/>
    <w:rsid w:val="00C83431"/>
    <w:rsid w:val="00C86764"/>
    <w:rsid w:val="00C90BB1"/>
    <w:rsid w:val="00C9439B"/>
    <w:rsid w:val="00C973AD"/>
    <w:rsid w:val="00C97E8D"/>
    <w:rsid w:val="00CA1FCE"/>
    <w:rsid w:val="00CC34D0"/>
    <w:rsid w:val="00CC3D23"/>
    <w:rsid w:val="00CD380B"/>
    <w:rsid w:val="00CD49CE"/>
    <w:rsid w:val="00CD5434"/>
    <w:rsid w:val="00CD58AA"/>
    <w:rsid w:val="00D017B4"/>
    <w:rsid w:val="00D16378"/>
    <w:rsid w:val="00D24359"/>
    <w:rsid w:val="00D26943"/>
    <w:rsid w:val="00D44A9A"/>
    <w:rsid w:val="00D45965"/>
    <w:rsid w:val="00D46FE4"/>
    <w:rsid w:val="00D64050"/>
    <w:rsid w:val="00D72B73"/>
    <w:rsid w:val="00D80C8D"/>
    <w:rsid w:val="00D93C51"/>
    <w:rsid w:val="00D94273"/>
    <w:rsid w:val="00D95C86"/>
    <w:rsid w:val="00DA1194"/>
    <w:rsid w:val="00DA5AD3"/>
    <w:rsid w:val="00DC1A1F"/>
    <w:rsid w:val="00DC5C3C"/>
    <w:rsid w:val="00DE027E"/>
    <w:rsid w:val="00DE0B36"/>
    <w:rsid w:val="00DE2AD7"/>
    <w:rsid w:val="00E24F62"/>
    <w:rsid w:val="00E53FF7"/>
    <w:rsid w:val="00E64A9B"/>
    <w:rsid w:val="00E64B46"/>
    <w:rsid w:val="00E70BC7"/>
    <w:rsid w:val="00E9618A"/>
    <w:rsid w:val="00EA371B"/>
    <w:rsid w:val="00EB005E"/>
    <w:rsid w:val="00EB382A"/>
    <w:rsid w:val="00EC08B9"/>
    <w:rsid w:val="00ED519E"/>
    <w:rsid w:val="00F16BFF"/>
    <w:rsid w:val="00F23195"/>
    <w:rsid w:val="00F27FB5"/>
    <w:rsid w:val="00F52C09"/>
    <w:rsid w:val="00F63AEF"/>
    <w:rsid w:val="00F63C36"/>
    <w:rsid w:val="00F6489F"/>
    <w:rsid w:val="00F807D8"/>
    <w:rsid w:val="00F8731D"/>
    <w:rsid w:val="00F9396B"/>
    <w:rsid w:val="00F94954"/>
    <w:rsid w:val="00FA5585"/>
    <w:rsid w:val="00FC39F8"/>
    <w:rsid w:val="00FC4DB4"/>
    <w:rsid w:val="00FC50FE"/>
    <w:rsid w:val="00FD0E3A"/>
    <w:rsid w:val="00FD7F11"/>
    <w:rsid w:val="00FF3C44"/>
    <w:rsid w:val="00FF660A"/>
    <w:rsid w:val="05A523BA"/>
    <w:rsid w:val="0D837836"/>
    <w:rsid w:val="0FCC7746"/>
    <w:rsid w:val="173F6013"/>
    <w:rsid w:val="27CD21B8"/>
    <w:rsid w:val="3B6F00D7"/>
    <w:rsid w:val="3F485EE5"/>
    <w:rsid w:val="4DF25949"/>
    <w:rsid w:val="58C443D3"/>
    <w:rsid w:val="5D3F18DC"/>
    <w:rsid w:val="62D12AC7"/>
    <w:rsid w:val="6A196502"/>
    <w:rsid w:val="737C3E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99"/>
    <w:pPr>
      <w:jc w:val="left"/>
    </w:pPr>
  </w:style>
  <w:style w:type="paragraph" w:styleId="3">
    <w:name w:val="Body Text Indent 2"/>
    <w:basedOn w:val="1"/>
    <w:link w:val="13"/>
    <w:qFormat/>
    <w:uiPriority w:val="0"/>
    <w:pPr>
      <w:spacing w:line="360" w:lineRule="auto"/>
      <w:ind w:firstLine="480" w:firstLineChars="200"/>
    </w:pPr>
    <w:rPr>
      <w:rFonts w:ascii="Arial" w:hAnsi="宋体" w:cs="Arial"/>
      <w:sz w:val="24"/>
      <w:szCs w:val="21"/>
    </w:r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unhideWhenUsed/>
    <w:qFormat/>
    <w:uiPriority w:val="99"/>
    <w:rPr>
      <w:b/>
      <w:bCs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annotation reference"/>
    <w:basedOn w:val="10"/>
    <w:unhideWhenUsed/>
    <w:qFormat/>
    <w:uiPriority w:val="99"/>
    <w:rPr>
      <w:sz w:val="21"/>
      <w:szCs w:val="21"/>
    </w:rPr>
  </w:style>
  <w:style w:type="character" w:customStyle="1" w:styleId="13">
    <w:name w:val="正文文本缩进 2 字符"/>
    <w:link w:val="3"/>
    <w:qFormat/>
    <w:uiPriority w:val="0"/>
    <w:rPr>
      <w:rFonts w:ascii="Arial" w:hAnsi="宋体" w:eastAsia="宋体" w:cs="Arial"/>
      <w:sz w:val="24"/>
      <w:szCs w:val="21"/>
    </w:rPr>
  </w:style>
  <w:style w:type="character" w:customStyle="1" w:styleId="14">
    <w:name w:val="正文文本缩进 2 Char1"/>
    <w:basedOn w:val="10"/>
    <w:semiHidden/>
    <w:qFormat/>
    <w:uiPriority w:val="99"/>
    <w:rPr>
      <w:rFonts w:ascii="Calibri" w:hAnsi="Calibri" w:eastAsia="宋体" w:cs="Times New Roman"/>
    </w:rPr>
  </w:style>
  <w:style w:type="character" w:customStyle="1" w:styleId="15">
    <w:name w:val="页眉 字符"/>
    <w:basedOn w:val="10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字符"/>
    <w:basedOn w:val="10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7">
    <w:name w:val="批注框文本 字符"/>
    <w:basedOn w:val="10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18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1"/>
    </w:rPr>
  </w:style>
  <w:style w:type="character" w:customStyle="1" w:styleId="19">
    <w:name w:val="批注文字 字符"/>
    <w:basedOn w:val="10"/>
    <w:link w:val="2"/>
    <w:semiHidden/>
    <w:qFormat/>
    <w:uiPriority w:val="99"/>
    <w:rPr>
      <w:rFonts w:ascii="Calibri" w:hAnsi="Calibri" w:eastAsia="宋体" w:cs="Times New Roman"/>
    </w:rPr>
  </w:style>
  <w:style w:type="character" w:customStyle="1" w:styleId="20">
    <w:name w:val="批注主题 字符"/>
    <w:basedOn w:val="19"/>
    <w:link w:val="8"/>
    <w:semiHidden/>
    <w:qFormat/>
    <w:uiPriority w:val="99"/>
    <w:rPr>
      <w:rFonts w:ascii="Calibri" w:hAnsi="Calibri" w:eastAsia="宋体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DFC33-2B41-4C4A-8659-7A29566BED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CUFE</Company>
  <Pages>5</Pages>
  <Words>2267</Words>
  <Characters>2332</Characters>
  <Lines>16</Lines>
  <Paragraphs>4</Paragraphs>
  <TotalTime>4</TotalTime>
  <ScaleCrop>false</ScaleCrop>
  <LinksUpToDate>false</LinksUpToDate>
  <CharactersWithSpaces>2335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2017-02-14T08:15:00Z</dcterms:created>
  <dc:creator>HMC</dc:creator>
  <cp:lastModifiedBy>王婧</cp:lastModifiedBy>
  <cp:lastPrinted>2019-04-25T23:42:00Z</cp:lastPrinted>
  <dcterms:modified xsi:type="dcterms:W3CDTF">2025-12-03T10:03:35Z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38277179395D49E6895E2D6A9F6165E6</vt:lpwstr>
  </property>
</Properties>
</file>