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DA5B4">
      <w:pPr>
        <w:spacing w:before="156" w:beforeLines="50" w:after="156" w:afterLines="50" w:line="480" w:lineRule="exact"/>
        <w:ind w:left="558" w:hanging="558" w:hangingChars="155"/>
        <w:jc w:val="center"/>
        <w:rPr>
          <w:rFonts w:eastAsia="方正小标宋简体" w:cs="方正小标宋简体"/>
          <w:bCs/>
          <w:sz w:val="36"/>
          <w:szCs w:val="36"/>
        </w:rPr>
      </w:pPr>
      <w:bookmarkStart w:id="0" w:name="_Hlk151640443"/>
      <w:r>
        <w:rPr>
          <w:rFonts w:hint="eastAsia" w:eastAsia="方正小标宋简体" w:cs="方正小标宋简体"/>
          <w:bCs/>
          <w:sz w:val="36"/>
          <w:szCs w:val="36"/>
        </w:rPr>
        <w:t>金融学院</w:t>
      </w:r>
      <w:bookmarkStart w:id="1" w:name="_Hlk151640077"/>
      <w:r>
        <w:rPr>
          <w:rFonts w:hint="eastAsia" w:eastAsia="方正小标宋简体" w:cs="方正小标宋简体"/>
          <w:bCs/>
          <w:sz w:val="36"/>
          <w:szCs w:val="36"/>
        </w:rPr>
        <w:t>“</w:t>
      </w:r>
      <w:bookmarkStart w:id="2" w:name="_Hlk151639022"/>
      <w:r>
        <w:rPr>
          <w:rFonts w:hint="eastAsia" w:eastAsia="方正小标宋简体" w:cs="方正小标宋简体"/>
          <w:bCs/>
          <w:sz w:val="36"/>
          <w:szCs w:val="36"/>
        </w:rPr>
        <w:t>金融投资与风险管理”</w:t>
      </w:r>
      <w:bookmarkEnd w:id="1"/>
      <w:bookmarkEnd w:id="2"/>
      <w:r>
        <w:rPr>
          <w:rFonts w:hint="eastAsia" w:eastAsia="方正小标宋简体" w:cs="方正小标宋简体"/>
          <w:bCs/>
          <w:sz w:val="36"/>
          <w:szCs w:val="36"/>
        </w:rPr>
        <w:t>微专业</w:t>
      </w:r>
      <w:bookmarkEnd w:id="0"/>
    </w:p>
    <w:p w14:paraId="5B776E08">
      <w:pPr>
        <w:spacing w:before="156" w:beforeLines="50" w:after="156" w:afterLines="50" w:line="480" w:lineRule="exact"/>
        <w:ind w:left="558" w:hanging="558" w:hangingChars="155"/>
        <w:jc w:val="center"/>
        <w:rPr>
          <w:rFonts w:eastAsia="方正小标宋简体" w:cs="方正小标宋简体"/>
          <w:sz w:val="36"/>
          <w:szCs w:val="36"/>
        </w:rPr>
      </w:pPr>
      <w:r>
        <w:rPr>
          <w:rFonts w:hint="eastAsia" w:eastAsia="方正小标宋简体" w:cs="方正小标宋简体"/>
          <w:bCs/>
          <w:sz w:val="36"/>
          <w:szCs w:val="36"/>
        </w:rPr>
        <w:t>人才培养方案</w:t>
      </w:r>
    </w:p>
    <w:p w14:paraId="7E07EFBB">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一、专业培养目标</w:t>
      </w:r>
    </w:p>
    <w:p w14:paraId="1184E354">
      <w:pPr>
        <w:widowControl/>
        <w:spacing w:line="360" w:lineRule="auto"/>
        <w:ind w:firstLine="480" w:firstLineChars="200"/>
        <w:rPr>
          <w:rFonts w:ascii="仿宋_GB2312" w:eastAsia="仿宋_GB2312"/>
          <w:sz w:val="24"/>
          <w:szCs w:val="24"/>
        </w:rPr>
      </w:pPr>
      <w:r>
        <w:rPr>
          <w:rFonts w:hint="eastAsia" w:ascii="仿宋_GB2312" w:eastAsia="仿宋_GB2312"/>
          <w:sz w:val="24"/>
          <w:szCs w:val="24"/>
        </w:rPr>
        <w:t>首都经济贸易大学金融学院“金融投资与风险管理”微专业以培养学生通用素质和通用技能为核心特色，以提升学生就业能力和综合素质为培养目标。重视学生金融知识和职业技能培养，结合职业资格考试包括CFA（注册金融分析师）、FRM（金融风险管理师）及ESG（ESG商业分析师）等内容进行课程设置。较为明确的授课目的和专业化的授课内容，一方面注重学生对金融投资分析和风险管理工具的实践应用，培养学生在复杂金融环境下的投融资决策和判断能力；另一方面系统化针对性的授课内容为学生参加CFA（注册金融分析师）、FRM（金融风险管理师）、ESG（ESG商业分析师）等职业资格考试奠定良好的知识基础，优质的校内资源助力学生获得高端职业资格证书，提高毕业就业竞争力。</w:t>
      </w:r>
    </w:p>
    <w:p w14:paraId="3211D3E0">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二、毕业要求</w:t>
      </w:r>
    </w:p>
    <w:p w14:paraId="6BFC6869">
      <w:pPr>
        <w:widowControl/>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本微专业课程</w:t>
      </w:r>
      <w:r>
        <w:rPr>
          <w:rFonts w:hint="eastAsia" w:ascii="仿宋" w:hAnsi="仿宋" w:eastAsia="仿宋" w:cs="仿宋"/>
          <w:bCs/>
          <w:sz w:val="24"/>
          <w:szCs w:val="24"/>
          <w:lang w:val="en-US" w:eastAsia="zh-CN"/>
        </w:rPr>
        <w:t>线上</w:t>
      </w:r>
      <w:r>
        <w:rPr>
          <w:rFonts w:hint="eastAsia" w:ascii="仿宋" w:hAnsi="仿宋" w:eastAsia="仿宋" w:cs="仿宋"/>
          <w:bCs/>
          <w:sz w:val="24"/>
          <w:szCs w:val="24"/>
        </w:rPr>
        <w:t>考核，微专业课程成绩单列成绩单。修读微专业的学生，学完全部课程并经考核合格后结业，可获得学校颁发的“金融投资与风险管理”微专业证书。</w:t>
      </w:r>
    </w:p>
    <w:p w14:paraId="4212D6C0">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三、招生对象与条件</w:t>
      </w:r>
    </w:p>
    <w:p w14:paraId="459A617D">
      <w:pPr>
        <w:widowControl/>
        <w:spacing w:line="360" w:lineRule="auto"/>
        <w:ind w:firstLine="480" w:firstLineChars="200"/>
        <w:rPr>
          <w:rFonts w:hint="eastAsia" w:ascii="仿宋_GB2312" w:eastAsia="仿宋_GB2312"/>
          <w:sz w:val="24"/>
          <w:szCs w:val="24"/>
          <w:lang w:eastAsia="zh-CN"/>
        </w:rPr>
      </w:pPr>
      <w:r>
        <w:rPr>
          <w:rFonts w:eastAsia="仿宋_GB2312"/>
          <w:sz w:val="24"/>
          <w:szCs w:val="24"/>
        </w:rPr>
        <w:t>面向全校大</w:t>
      </w:r>
      <w:r>
        <w:rPr>
          <w:rFonts w:hint="eastAsia" w:eastAsia="仿宋_GB2312"/>
          <w:sz w:val="24"/>
          <w:szCs w:val="24"/>
        </w:rPr>
        <w:t>一、大</w:t>
      </w:r>
      <w:r>
        <w:rPr>
          <w:rFonts w:eastAsia="仿宋_GB2312"/>
          <w:sz w:val="24"/>
          <w:szCs w:val="24"/>
        </w:rPr>
        <w:t>二</w:t>
      </w:r>
      <w:r>
        <w:rPr>
          <w:rFonts w:hint="eastAsia" w:eastAsia="仿宋_GB2312"/>
          <w:sz w:val="24"/>
          <w:szCs w:val="24"/>
        </w:rPr>
        <w:t>、大三</w:t>
      </w:r>
      <w:r>
        <w:rPr>
          <w:rFonts w:eastAsia="仿宋_GB2312"/>
          <w:sz w:val="24"/>
          <w:szCs w:val="24"/>
        </w:rPr>
        <w:t>年级</w:t>
      </w:r>
      <w:r>
        <w:rPr>
          <w:rFonts w:hint="eastAsia" w:eastAsia="仿宋_GB2312"/>
          <w:sz w:val="24"/>
          <w:szCs w:val="24"/>
          <w:lang w:eastAsia="zh-CN"/>
        </w:rPr>
        <w:t>，</w:t>
      </w:r>
      <w:r>
        <w:rPr>
          <w:rFonts w:hint="eastAsia" w:eastAsia="仿宋_GB2312"/>
          <w:sz w:val="24"/>
          <w:szCs w:val="24"/>
          <w:lang w:val="en-US" w:eastAsia="zh-CN"/>
        </w:rPr>
        <w:t>除金融学院之外的各专业</w:t>
      </w:r>
      <w:r>
        <w:rPr>
          <w:rFonts w:eastAsia="仿宋_GB2312"/>
          <w:sz w:val="24"/>
          <w:szCs w:val="24"/>
        </w:rPr>
        <w:t>全日制本科生</w:t>
      </w:r>
      <w:r>
        <w:rPr>
          <w:rFonts w:hint="eastAsia" w:eastAsia="仿宋_GB2312"/>
          <w:sz w:val="24"/>
          <w:szCs w:val="24"/>
          <w:lang w:eastAsia="zh-CN"/>
        </w:rPr>
        <w:t>。</w:t>
      </w:r>
    </w:p>
    <w:p w14:paraId="1A8FF0ED">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四、学分与证书</w:t>
      </w:r>
    </w:p>
    <w:p w14:paraId="1F1A6E78">
      <w:pPr>
        <w:widowControl/>
        <w:spacing w:line="360" w:lineRule="auto"/>
        <w:ind w:firstLine="480" w:firstLineChars="200"/>
        <w:rPr>
          <w:rFonts w:hint="eastAsia" w:eastAsia="仿宋_GB2312"/>
          <w:sz w:val="24"/>
          <w:szCs w:val="24"/>
        </w:rPr>
      </w:pPr>
      <w:r>
        <w:rPr>
          <w:rFonts w:hint="eastAsia" w:eastAsia="仿宋_GB2312"/>
          <w:sz w:val="24"/>
          <w:szCs w:val="24"/>
        </w:rPr>
        <w:t>学生修完培养方案的6门课程并通过考试，可获得微专业证书。</w:t>
      </w:r>
    </w:p>
    <w:p w14:paraId="277F98F7">
      <w:pPr>
        <w:widowControl/>
        <w:spacing w:line="360" w:lineRule="auto"/>
        <w:ind w:firstLine="480" w:firstLineChars="200"/>
        <w:rPr>
          <w:rFonts w:hint="eastAsia" w:eastAsia="仿宋_GB2312"/>
          <w:sz w:val="24"/>
          <w:szCs w:val="24"/>
        </w:rPr>
      </w:pPr>
    </w:p>
    <w:p w14:paraId="540CB82D">
      <w:pPr>
        <w:widowControl/>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五、课程设置</w:t>
      </w:r>
    </w:p>
    <w:p w14:paraId="0702743D">
      <w:pPr>
        <w:widowControl/>
        <w:spacing w:after="156" w:line="0" w:lineRule="atLeast"/>
        <w:jc w:val="center"/>
        <w:rPr>
          <w:rFonts w:hint="eastAsia" w:ascii="黑体" w:hAnsi="黑体" w:eastAsia="黑体" w:cs="黑体"/>
          <w:bCs/>
          <w:sz w:val="28"/>
          <w:szCs w:val="28"/>
        </w:rPr>
      </w:pPr>
      <w:r>
        <w:rPr>
          <w:rFonts w:hint="eastAsia" w:ascii="黑体" w:hAnsi="黑体" w:eastAsia="黑体" w:cs="黑体"/>
          <w:bCs/>
          <w:sz w:val="28"/>
          <w:szCs w:val="28"/>
        </w:rPr>
        <w:t>数字经济与贸易微专业课程设置及教学进程计划表</w:t>
      </w:r>
    </w:p>
    <w:tbl>
      <w:tblPr>
        <w:tblStyle w:val="7"/>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67"/>
        <w:gridCol w:w="708"/>
        <w:gridCol w:w="709"/>
        <w:gridCol w:w="709"/>
        <w:gridCol w:w="709"/>
        <w:gridCol w:w="708"/>
        <w:gridCol w:w="1560"/>
        <w:gridCol w:w="1070"/>
      </w:tblGrid>
      <w:tr w14:paraId="424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Merge w:val="restart"/>
            <w:tcBorders>
              <w:bottom w:val="single" w:color="auto" w:sz="4" w:space="0"/>
            </w:tcBorders>
            <w:vAlign w:val="center"/>
          </w:tcPr>
          <w:p w14:paraId="0431EC21">
            <w:pPr>
              <w:widowControl/>
              <w:jc w:val="center"/>
              <w:rPr>
                <w:rFonts w:hint="eastAsia" w:ascii="黑体" w:hAnsi="黑体" w:eastAsia="黑体"/>
                <w:bCs/>
                <w:spacing w:val="20"/>
                <w:sz w:val="18"/>
                <w:szCs w:val="18"/>
              </w:rPr>
            </w:pPr>
            <w:r>
              <w:rPr>
                <w:rFonts w:hint="eastAsia" w:ascii="黑体" w:hAnsi="黑体" w:eastAsia="黑体"/>
                <w:bCs/>
                <w:sz w:val="18"/>
                <w:szCs w:val="18"/>
              </w:rPr>
              <w:t>课程名称</w:t>
            </w:r>
          </w:p>
        </w:tc>
        <w:tc>
          <w:tcPr>
            <w:tcW w:w="567" w:type="dxa"/>
            <w:vMerge w:val="restart"/>
            <w:tcBorders>
              <w:bottom w:val="single" w:color="auto" w:sz="4" w:space="0"/>
            </w:tcBorders>
            <w:vAlign w:val="center"/>
          </w:tcPr>
          <w:p w14:paraId="4A87D77D">
            <w:pPr>
              <w:widowControl/>
              <w:jc w:val="center"/>
              <w:rPr>
                <w:rFonts w:hint="eastAsia" w:ascii="黑体" w:hAnsi="黑体" w:eastAsia="黑体"/>
                <w:bCs/>
                <w:spacing w:val="20"/>
                <w:sz w:val="18"/>
                <w:szCs w:val="18"/>
              </w:rPr>
            </w:pPr>
            <w:r>
              <w:rPr>
                <w:rFonts w:hint="eastAsia" w:ascii="黑体" w:hAnsi="黑体" w:eastAsia="黑体"/>
                <w:bCs/>
                <w:sz w:val="18"/>
                <w:szCs w:val="18"/>
              </w:rPr>
              <w:t>学分</w:t>
            </w:r>
          </w:p>
        </w:tc>
        <w:tc>
          <w:tcPr>
            <w:tcW w:w="708" w:type="dxa"/>
            <w:vMerge w:val="restart"/>
            <w:vAlign w:val="center"/>
          </w:tcPr>
          <w:p w14:paraId="5862A3CF">
            <w:pPr>
              <w:widowControl/>
              <w:jc w:val="center"/>
              <w:rPr>
                <w:rFonts w:hint="eastAsia" w:ascii="黑体" w:hAnsi="黑体" w:eastAsia="黑体"/>
                <w:bCs/>
                <w:sz w:val="18"/>
                <w:szCs w:val="18"/>
              </w:rPr>
            </w:pPr>
            <w:r>
              <w:rPr>
                <w:rFonts w:ascii="黑体" w:hAnsi="黑体" w:eastAsia="黑体"/>
                <w:bCs/>
                <w:sz w:val="18"/>
              </w:rPr>
              <w:t>总学时</w:t>
            </w:r>
          </w:p>
        </w:tc>
        <w:tc>
          <w:tcPr>
            <w:tcW w:w="2835" w:type="dxa"/>
            <w:gridSpan w:val="4"/>
            <w:tcBorders>
              <w:bottom w:val="single" w:color="auto" w:sz="4" w:space="0"/>
            </w:tcBorders>
            <w:vAlign w:val="center"/>
          </w:tcPr>
          <w:p w14:paraId="5B332E63">
            <w:pPr>
              <w:widowControl/>
              <w:jc w:val="center"/>
              <w:rPr>
                <w:rFonts w:hint="eastAsia" w:ascii="黑体" w:hAnsi="黑体" w:eastAsia="黑体"/>
                <w:bCs/>
                <w:spacing w:val="20"/>
                <w:sz w:val="18"/>
                <w:szCs w:val="18"/>
              </w:rPr>
            </w:pPr>
            <w:r>
              <w:rPr>
                <w:rFonts w:ascii="黑体" w:hAnsi="黑体" w:eastAsia="黑体"/>
                <w:bCs/>
                <w:spacing w:val="75"/>
                <w:kern w:val="0"/>
                <w:sz w:val="18"/>
                <w:szCs w:val="18"/>
                <w:fitText w:val="840" w:id="1307458760"/>
              </w:rPr>
              <w:t>学时</w:t>
            </w:r>
            <w:r>
              <w:rPr>
                <w:rFonts w:hint="eastAsia" w:ascii="黑体" w:hAnsi="黑体" w:eastAsia="黑体"/>
                <w:bCs/>
                <w:spacing w:val="0"/>
                <w:kern w:val="0"/>
                <w:sz w:val="18"/>
                <w:szCs w:val="18"/>
                <w:fitText w:val="840" w:id="1307458760"/>
              </w:rPr>
              <w:t>分</w:t>
            </w:r>
            <w:r>
              <w:rPr>
                <w:rFonts w:hint="eastAsia" w:ascii="黑体" w:hAnsi="黑体" w:eastAsia="黑体"/>
                <w:bCs/>
                <w:sz w:val="18"/>
                <w:szCs w:val="18"/>
              </w:rPr>
              <w:t xml:space="preserve"> 配</w:t>
            </w:r>
          </w:p>
        </w:tc>
        <w:tc>
          <w:tcPr>
            <w:tcW w:w="1560" w:type="dxa"/>
            <w:vMerge w:val="restart"/>
            <w:tcBorders>
              <w:bottom w:val="single" w:color="auto" w:sz="4" w:space="0"/>
            </w:tcBorders>
            <w:vAlign w:val="center"/>
          </w:tcPr>
          <w:p w14:paraId="55878546">
            <w:pPr>
              <w:widowControl/>
              <w:snapToGrid w:val="0"/>
              <w:jc w:val="center"/>
              <w:rPr>
                <w:rFonts w:hint="eastAsia" w:ascii="黑体" w:hAnsi="黑体" w:eastAsia="黑体"/>
                <w:bCs/>
                <w:sz w:val="18"/>
                <w:szCs w:val="18"/>
              </w:rPr>
            </w:pPr>
            <w:r>
              <w:rPr>
                <w:rFonts w:hint="eastAsia" w:ascii="黑体" w:hAnsi="黑体" w:eastAsia="黑体"/>
                <w:bCs/>
                <w:sz w:val="18"/>
                <w:szCs w:val="18"/>
              </w:rPr>
              <w:t>考核</w:t>
            </w:r>
          </w:p>
          <w:p w14:paraId="4B10AB31">
            <w:pPr>
              <w:widowControl/>
              <w:jc w:val="center"/>
              <w:rPr>
                <w:rFonts w:hint="eastAsia" w:ascii="黑体" w:hAnsi="黑体" w:eastAsia="黑体"/>
                <w:bCs/>
                <w:spacing w:val="20"/>
                <w:sz w:val="18"/>
                <w:szCs w:val="18"/>
              </w:rPr>
            </w:pPr>
            <w:r>
              <w:rPr>
                <w:rFonts w:hint="eastAsia" w:ascii="黑体" w:hAnsi="黑体" w:eastAsia="黑体"/>
                <w:bCs/>
                <w:sz w:val="18"/>
                <w:szCs w:val="18"/>
              </w:rPr>
              <w:t>方式</w:t>
            </w:r>
          </w:p>
        </w:tc>
        <w:tc>
          <w:tcPr>
            <w:tcW w:w="1070" w:type="dxa"/>
            <w:vMerge w:val="restart"/>
            <w:tcBorders>
              <w:bottom w:val="single" w:color="auto" w:sz="4" w:space="0"/>
            </w:tcBorders>
            <w:vAlign w:val="center"/>
          </w:tcPr>
          <w:p w14:paraId="59844BB1">
            <w:pPr>
              <w:widowControl/>
              <w:jc w:val="center"/>
              <w:rPr>
                <w:rFonts w:hint="default" w:ascii="黑体" w:hAnsi="黑体" w:eastAsia="黑体"/>
                <w:bCs/>
                <w:spacing w:val="20"/>
                <w:sz w:val="18"/>
                <w:szCs w:val="18"/>
                <w:lang w:val="en-US" w:eastAsia="zh-CN"/>
              </w:rPr>
            </w:pPr>
            <w:r>
              <w:rPr>
                <w:rFonts w:hint="eastAsia" w:ascii="黑体" w:hAnsi="黑体" w:eastAsia="黑体"/>
                <w:bCs/>
                <w:spacing w:val="20"/>
                <w:sz w:val="18"/>
                <w:szCs w:val="18"/>
                <w:lang w:val="en-US" w:eastAsia="zh-CN"/>
              </w:rPr>
              <w:t>线上平台</w:t>
            </w:r>
          </w:p>
        </w:tc>
      </w:tr>
      <w:tr w14:paraId="206D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Merge w:val="continue"/>
            <w:vAlign w:val="center"/>
          </w:tcPr>
          <w:p w14:paraId="02D49A3D">
            <w:pPr>
              <w:widowControl/>
              <w:jc w:val="center"/>
              <w:rPr>
                <w:rFonts w:hint="eastAsia" w:ascii="仿宋" w:hAnsi="仿宋" w:eastAsia="仿宋"/>
                <w:b/>
                <w:spacing w:val="20"/>
                <w:sz w:val="21"/>
                <w:szCs w:val="21"/>
              </w:rPr>
            </w:pPr>
          </w:p>
        </w:tc>
        <w:tc>
          <w:tcPr>
            <w:tcW w:w="567" w:type="dxa"/>
            <w:vMerge w:val="continue"/>
            <w:vAlign w:val="center"/>
          </w:tcPr>
          <w:p w14:paraId="451E9E12">
            <w:pPr>
              <w:widowControl/>
              <w:jc w:val="center"/>
              <w:rPr>
                <w:rFonts w:hint="eastAsia" w:ascii="仿宋" w:hAnsi="仿宋" w:eastAsia="仿宋"/>
                <w:b/>
                <w:spacing w:val="20"/>
                <w:sz w:val="21"/>
                <w:szCs w:val="21"/>
              </w:rPr>
            </w:pPr>
          </w:p>
        </w:tc>
        <w:tc>
          <w:tcPr>
            <w:tcW w:w="708" w:type="dxa"/>
            <w:vMerge w:val="continue"/>
            <w:vAlign w:val="center"/>
          </w:tcPr>
          <w:p w14:paraId="42A2E8F0">
            <w:pPr>
              <w:widowControl/>
              <w:jc w:val="center"/>
              <w:rPr>
                <w:rFonts w:hint="eastAsia" w:ascii="仿宋" w:hAnsi="仿宋" w:eastAsia="仿宋"/>
                <w:b/>
                <w:spacing w:val="20"/>
                <w:sz w:val="21"/>
                <w:szCs w:val="21"/>
              </w:rPr>
            </w:pPr>
          </w:p>
        </w:tc>
        <w:tc>
          <w:tcPr>
            <w:tcW w:w="709" w:type="dxa"/>
            <w:vAlign w:val="center"/>
          </w:tcPr>
          <w:p w14:paraId="7ECF1534">
            <w:pPr>
              <w:widowControl/>
              <w:jc w:val="center"/>
              <w:rPr>
                <w:rFonts w:hint="eastAsia" w:ascii="黑体" w:hAnsi="黑体" w:eastAsia="黑体"/>
                <w:bCs/>
                <w:spacing w:val="20"/>
                <w:sz w:val="21"/>
                <w:szCs w:val="21"/>
              </w:rPr>
            </w:pPr>
            <w:r>
              <w:rPr>
                <w:rFonts w:hint="eastAsia" w:ascii="黑体" w:hAnsi="黑体" w:eastAsia="黑体"/>
                <w:bCs/>
                <w:sz w:val="18"/>
              </w:rPr>
              <w:t>理论</w:t>
            </w:r>
          </w:p>
        </w:tc>
        <w:tc>
          <w:tcPr>
            <w:tcW w:w="709" w:type="dxa"/>
            <w:vAlign w:val="center"/>
          </w:tcPr>
          <w:p w14:paraId="696D59CF">
            <w:pPr>
              <w:widowControl/>
              <w:jc w:val="center"/>
              <w:rPr>
                <w:rFonts w:hint="eastAsia" w:ascii="黑体" w:hAnsi="黑体" w:eastAsia="黑体"/>
                <w:bCs/>
                <w:spacing w:val="20"/>
                <w:sz w:val="21"/>
                <w:szCs w:val="21"/>
              </w:rPr>
            </w:pPr>
            <w:r>
              <w:rPr>
                <w:rFonts w:hint="eastAsia" w:ascii="黑体" w:hAnsi="黑体" w:eastAsia="黑体"/>
                <w:bCs/>
                <w:sz w:val="18"/>
              </w:rPr>
              <w:t>实践</w:t>
            </w:r>
          </w:p>
        </w:tc>
        <w:tc>
          <w:tcPr>
            <w:tcW w:w="709" w:type="dxa"/>
            <w:vAlign w:val="center"/>
          </w:tcPr>
          <w:p w14:paraId="231B4606">
            <w:pPr>
              <w:widowControl/>
              <w:jc w:val="center"/>
              <w:rPr>
                <w:rFonts w:hint="eastAsia" w:ascii="黑体" w:hAnsi="黑体" w:eastAsia="黑体"/>
                <w:bCs/>
                <w:spacing w:val="20"/>
                <w:sz w:val="21"/>
                <w:szCs w:val="21"/>
              </w:rPr>
            </w:pPr>
            <w:r>
              <w:rPr>
                <w:rFonts w:hint="eastAsia" w:ascii="黑体" w:hAnsi="黑体" w:eastAsia="黑体"/>
                <w:bCs/>
                <w:sz w:val="18"/>
                <w:szCs w:val="18"/>
              </w:rPr>
              <w:t>线上学时</w:t>
            </w:r>
          </w:p>
        </w:tc>
        <w:tc>
          <w:tcPr>
            <w:tcW w:w="708" w:type="dxa"/>
            <w:vAlign w:val="center"/>
          </w:tcPr>
          <w:p w14:paraId="685A1644">
            <w:pPr>
              <w:widowControl/>
              <w:jc w:val="center"/>
              <w:rPr>
                <w:rFonts w:hint="eastAsia" w:ascii="仿宋" w:hAnsi="仿宋" w:eastAsia="仿宋"/>
                <w:b/>
                <w:spacing w:val="20"/>
                <w:sz w:val="21"/>
                <w:szCs w:val="21"/>
              </w:rPr>
            </w:pPr>
            <w:r>
              <w:rPr>
                <w:rFonts w:hint="eastAsia" w:ascii="黑体" w:hAnsi="黑体" w:eastAsia="黑体"/>
                <w:bCs/>
                <w:sz w:val="18"/>
                <w:szCs w:val="18"/>
              </w:rPr>
              <w:t>线下学时</w:t>
            </w:r>
          </w:p>
        </w:tc>
        <w:tc>
          <w:tcPr>
            <w:tcW w:w="1560" w:type="dxa"/>
            <w:vMerge w:val="continue"/>
            <w:vAlign w:val="center"/>
          </w:tcPr>
          <w:p w14:paraId="6315107C">
            <w:pPr>
              <w:widowControl/>
              <w:jc w:val="center"/>
              <w:rPr>
                <w:rFonts w:hint="eastAsia" w:ascii="仿宋" w:hAnsi="仿宋" w:eastAsia="仿宋"/>
                <w:b/>
                <w:spacing w:val="20"/>
                <w:sz w:val="21"/>
                <w:szCs w:val="21"/>
              </w:rPr>
            </w:pPr>
          </w:p>
        </w:tc>
        <w:tc>
          <w:tcPr>
            <w:tcW w:w="1070" w:type="dxa"/>
            <w:vMerge w:val="continue"/>
            <w:vAlign w:val="center"/>
          </w:tcPr>
          <w:p w14:paraId="3A264076">
            <w:pPr>
              <w:widowControl/>
              <w:jc w:val="center"/>
              <w:rPr>
                <w:rFonts w:hint="eastAsia" w:ascii="仿宋" w:hAnsi="仿宋" w:eastAsia="仿宋"/>
                <w:b/>
                <w:spacing w:val="20"/>
                <w:sz w:val="21"/>
                <w:szCs w:val="21"/>
              </w:rPr>
            </w:pPr>
          </w:p>
        </w:tc>
      </w:tr>
      <w:tr w14:paraId="1EEE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375EF6C6">
            <w:pPr>
              <w:widowControl/>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金融学</w:t>
            </w:r>
          </w:p>
        </w:tc>
        <w:tc>
          <w:tcPr>
            <w:tcW w:w="567" w:type="dxa"/>
            <w:vAlign w:val="center"/>
          </w:tcPr>
          <w:p w14:paraId="6770FAC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7451B42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7D7932C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2D9DEAD0">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1E46046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7F23D142">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1C1FDC1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w:t>
            </w:r>
            <w:r>
              <w:rPr>
                <w:rFonts w:hint="eastAsia" w:ascii="仿宋" w:hAnsi="仿宋" w:eastAsia="仿宋"/>
                <w:bCs/>
                <w:spacing w:val="20"/>
                <w:sz w:val="18"/>
                <w:szCs w:val="18"/>
                <w:lang w:val="en-US" w:eastAsia="zh-CN"/>
              </w:rPr>
              <w:t>查</w:t>
            </w:r>
            <w:r>
              <w:rPr>
                <w:rFonts w:hint="eastAsia" w:ascii="仿宋" w:hAnsi="仿宋" w:eastAsia="仿宋"/>
                <w:bCs/>
                <w:spacing w:val="20"/>
                <w:sz w:val="18"/>
                <w:szCs w:val="18"/>
              </w:rPr>
              <w:t>（线上）</w:t>
            </w:r>
          </w:p>
        </w:tc>
        <w:tc>
          <w:tcPr>
            <w:tcW w:w="1070" w:type="dxa"/>
            <w:vAlign w:val="center"/>
          </w:tcPr>
          <w:p w14:paraId="0D4C5094">
            <w:pPr>
              <w:widowControl/>
              <w:jc w:val="center"/>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大学慕课网</w:t>
            </w:r>
          </w:p>
        </w:tc>
      </w:tr>
      <w:tr w14:paraId="1F46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3B3EBB54">
            <w:pPr>
              <w:widowControl/>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国际金融学</w:t>
            </w:r>
          </w:p>
        </w:tc>
        <w:tc>
          <w:tcPr>
            <w:tcW w:w="567" w:type="dxa"/>
            <w:vAlign w:val="center"/>
          </w:tcPr>
          <w:p w14:paraId="1405AF33">
            <w:pPr>
              <w:widowControl/>
              <w:jc w:val="center"/>
              <w:rPr>
                <w:rFonts w:hint="eastAsia" w:ascii="仿宋" w:hAnsi="仿宋" w:eastAsia="仿宋"/>
                <w:bCs/>
                <w:spacing w:val="20"/>
                <w:sz w:val="18"/>
                <w:szCs w:val="18"/>
              </w:rPr>
            </w:pPr>
            <w:r>
              <w:rPr>
                <w:rFonts w:ascii="仿宋" w:hAnsi="仿宋" w:eastAsia="仿宋"/>
                <w:bCs/>
                <w:spacing w:val="20"/>
                <w:sz w:val="18"/>
                <w:szCs w:val="18"/>
              </w:rPr>
              <w:t>2</w:t>
            </w:r>
          </w:p>
        </w:tc>
        <w:tc>
          <w:tcPr>
            <w:tcW w:w="708" w:type="dxa"/>
            <w:vAlign w:val="center"/>
          </w:tcPr>
          <w:p w14:paraId="391EE71C">
            <w:pPr>
              <w:widowControl/>
              <w:jc w:val="center"/>
              <w:rPr>
                <w:rFonts w:hint="eastAsia" w:ascii="仿宋" w:hAnsi="仿宋" w:eastAsia="仿宋"/>
                <w:bCs/>
                <w:spacing w:val="20"/>
                <w:sz w:val="18"/>
                <w:szCs w:val="18"/>
              </w:rPr>
            </w:pPr>
            <w:r>
              <w:rPr>
                <w:rFonts w:ascii="仿宋" w:hAnsi="仿宋" w:eastAsia="仿宋"/>
                <w:bCs/>
                <w:spacing w:val="20"/>
                <w:sz w:val="18"/>
                <w:szCs w:val="18"/>
              </w:rPr>
              <w:t>32</w:t>
            </w:r>
          </w:p>
        </w:tc>
        <w:tc>
          <w:tcPr>
            <w:tcW w:w="709" w:type="dxa"/>
            <w:vAlign w:val="center"/>
          </w:tcPr>
          <w:p w14:paraId="7194DDC2">
            <w:pPr>
              <w:widowControl/>
              <w:jc w:val="center"/>
              <w:rPr>
                <w:rFonts w:hint="eastAsia" w:ascii="仿宋" w:hAnsi="仿宋" w:eastAsia="仿宋"/>
                <w:bCs/>
                <w:spacing w:val="20"/>
                <w:sz w:val="18"/>
                <w:szCs w:val="18"/>
              </w:rPr>
            </w:pPr>
            <w:r>
              <w:rPr>
                <w:rFonts w:ascii="仿宋" w:hAnsi="仿宋" w:eastAsia="仿宋"/>
                <w:bCs/>
                <w:spacing w:val="20"/>
                <w:sz w:val="18"/>
                <w:szCs w:val="18"/>
              </w:rPr>
              <w:t>32</w:t>
            </w:r>
          </w:p>
        </w:tc>
        <w:tc>
          <w:tcPr>
            <w:tcW w:w="709" w:type="dxa"/>
            <w:vAlign w:val="center"/>
          </w:tcPr>
          <w:p w14:paraId="770C4B5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2DB3502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5316B245">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28C1F38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w:t>
            </w:r>
            <w:r>
              <w:rPr>
                <w:rFonts w:hint="eastAsia" w:ascii="仿宋" w:hAnsi="仿宋" w:eastAsia="仿宋"/>
                <w:bCs/>
                <w:spacing w:val="20"/>
                <w:sz w:val="18"/>
                <w:szCs w:val="18"/>
                <w:lang w:val="en-US" w:eastAsia="zh-CN"/>
              </w:rPr>
              <w:t>查</w:t>
            </w:r>
            <w:r>
              <w:rPr>
                <w:rFonts w:hint="eastAsia" w:ascii="仿宋" w:hAnsi="仿宋" w:eastAsia="仿宋"/>
                <w:bCs/>
                <w:spacing w:val="20"/>
                <w:sz w:val="18"/>
                <w:szCs w:val="18"/>
              </w:rPr>
              <w:t>（线上）</w:t>
            </w:r>
          </w:p>
        </w:tc>
        <w:tc>
          <w:tcPr>
            <w:tcW w:w="1070" w:type="dxa"/>
            <w:vAlign w:val="center"/>
          </w:tcPr>
          <w:p w14:paraId="33A97D68">
            <w:pPr>
              <w:widowControl/>
              <w:jc w:val="center"/>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智慧树</w:t>
            </w:r>
          </w:p>
        </w:tc>
      </w:tr>
      <w:tr w14:paraId="766B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7B602680">
            <w:pPr>
              <w:widowControl/>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投资学</w:t>
            </w:r>
          </w:p>
        </w:tc>
        <w:tc>
          <w:tcPr>
            <w:tcW w:w="567" w:type="dxa"/>
            <w:vAlign w:val="center"/>
          </w:tcPr>
          <w:p w14:paraId="70D0DBCA">
            <w:pPr>
              <w:widowControl/>
              <w:jc w:val="center"/>
              <w:rPr>
                <w:rFonts w:hint="eastAsia" w:ascii="仿宋" w:hAnsi="仿宋" w:eastAsia="仿宋"/>
                <w:bCs/>
                <w:spacing w:val="20"/>
                <w:sz w:val="18"/>
                <w:szCs w:val="18"/>
              </w:rPr>
            </w:pPr>
            <w:r>
              <w:rPr>
                <w:rFonts w:ascii="仿宋" w:hAnsi="仿宋" w:eastAsia="仿宋"/>
                <w:bCs/>
                <w:spacing w:val="20"/>
                <w:sz w:val="18"/>
                <w:szCs w:val="18"/>
              </w:rPr>
              <w:t>2</w:t>
            </w:r>
          </w:p>
        </w:tc>
        <w:tc>
          <w:tcPr>
            <w:tcW w:w="708" w:type="dxa"/>
            <w:vAlign w:val="center"/>
          </w:tcPr>
          <w:p w14:paraId="178CD603">
            <w:pPr>
              <w:widowControl/>
              <w:jc w:val="center"/>
              <w:rPr>
                <w:rFonts w:hint="eastAsia" w:ascii="仿宋" w:hAnsi="仿宋" w:eastAsia="仿宋"/>
                <w:bCs/>
                <w:spacing w:val="20"/>
                <w:sz w:val="18"/>
                <w:szCs w:val="18"/>
              </w:rPr>
            </w:pPr>
            <w:r>
              <w:rPr>
                <w:rFonts w:ascii="仿宋" w:hAnsi="仿宋" w:eastAsia="仿宋"/>
                <w:bCs/>
                <w:spacing w:val="20"/>
                <w:sz w:val="18"/>
                <w:szCs w:val="18"/>
              </w:rPr>
              <w:t>32</w:t>
            </w:r>
          </w:p>
        </w:tc>
        <w:tc>
          <w:tcPr>
            <w:tcW w:w="709" w:type="dxa"/>
            <w:vAlign w:val="center"/>
          </w:tcPr>
          <w:p w14:paraId="10FAEDDC">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0583D051">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2CDB5A2A">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761ED392">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17A791D6">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w:t>
            </w:r>
            <w:r>
              <w:rPr>
                <w:rFonts w:hint="eastAsia" w:ascii="仿宋" w:hAnsi="仿宋" w:eastAsia="仿宋"/>
                <w:bCs/>
                <w:spacing w:val="20"/>
                <w:sz w:val="18"/>
                <w:szCs w:val="18"/>
                <w:lang w:val="en-US" w:eastAsia="zh-CN"/>
              </w:rPr>
              <w:t>查</w:t>
            </w:r>
            <w:r>
              <w:rPr>
                <w:rFonts w:hint="eastAsia" w:ascii="仿宋" w:hAnsi="仿宋" w:eastAsia="仿宋"/>
                <w:bCs/>
                <w:spacing w:val="20"/>
                <w:sz w:val="18"/>
                <w:szCs w:val="18"/>
              </w:rPr>
              <w:t>（线上）</w:t>
            </w:r>
          </w:p>
        </w:tc>
        <w:tc>
          <w:tcPr>
            <w:tcW w:w="1070" w:type="dxa"/>
            <w:vAlign w:val="center"/>
          </w:tcPr>
          <w:p w14:paraId="129273B8">
            <w:pPr>
              <w:widowControl/>
              <w:jc w:val="center"/>
              <w:rPr>
                <w:rFonts w:hint="eastAsia" w:ascii="仿宋" w:hAnsi="仿宋" w:eastAsia="仿宋"/>
                <w:bCs/>
                <w:spacing w:val="20"/>
                <w:sz w:val="18"/>
                <w:szCs w:val="18"/>
              </w:rPr>
            </w:pPr>
            <w:r>
              <w:rPr>
                <w:rFonts w:hint="eastAsia" w:ascii="仿宋" w:hAnsi="仿宋" w:eastAsia="仿宋"/>
                <w:bCs/>
                <w:spacing w:val="20"/>
                <w:sz w:val="18"/>
                <w:szCs w:val="18"/>
                <w:lang w:val="en-US" w:eastAsia="zh-CN"/>
              </w:rPr>
              <w:t>大学慕课网</w:t>
            </w:r>
          </w:p>
        </w:tc>
      </w:tr>
      <w:tr w14:paraId="32AE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22637AC0">
            <w:pPr>
              <w:widowControl/>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衍生金融工具</w:t>
            </w:r>
          </w:p>
        </w:tc>
        <w:tc>
          <w:tcPr>
            <w:tcW w:w="567" w:type="dxa"/>
            <w:vAlign w:val="center"/>
          </w:tcPr>
          <w:p w14:paraId="1CDE0CFB">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0DA4B2C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026C567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113DCD9A">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0B055389">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666256EE">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65ADD016">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w:t>
            </w:r>
            <w:r>
              <w:rPr>
                <w:rFonts w:hint="eastAsia" w:ascii="仿宋" w:hAnsi="仿宋" w:eastAsia="仿宋"/>
                <w:bCs/>
                <w:spacing w:val="20"/>
                <w:sz w:val="18"/>
                <w:szCs w:val="18"/>
                <w:lang w:val="en-US" w:eastAsia="zh-CN"/>
              </w:rPr>
              <w:t>查</w:t>
            </w:r>
            <w:r>
              <w:rPr>
                <w:rFonts w:hint="eastAsia" w:ascii="仿宋" w:hAnsi="仿宋" w:eastAsia="仿宋"/>
                <w:bCs/>
                <w:spacing w:val="20"/>
                <w:sz w:val="18"/>
                <w:szCs w:val="18"/>
              </w:rPr>
              <w:t>（线上）</w:t>
            </w:r>
          </w:p>
        </w:tc>
        <w:tc>
          <w:tcPr>
            <w:tcW w:w="1070" w:type="dxa"/>
            <w:vAlign w:val="center"/>
          </w:tcPr>
          <w:p w14:paraId="5814BDD9">
            <w:pPr>
              <w:widowControl/>
              <w:jc w:val="center"/>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大学慕课网</w:t>
            </w:r>
          </w:p>
        </w:tc>
      </w:tr>
      <w:tr w14:paraId="3B85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7817B674">
            <w:pPr>
              <w:widowControl/>
              <w:rPr>
                <w:rFonts w:hint="eastAsia" w:ascii="仿宋" w:hAnsi="仿宋" w:eastAsia="仿宋"/>
                <w:bCs/>
                <w:spacing w:val="20"/>
                <w:sz w:val="18"/>
                <w:szCs w:val="18"/>
                <w:lang w:val="en-US" w:eastAsia="zh-CN"/>
              </w:rPr>
            </w:pPr>
            <w:r>
              <w:rPr>
                <w:rFonts w:hint="eastAsia" w:ascii="仿宋" w:hAnsi="仿宋" w:eastAsia="仿宋"/>
                <w:bCs/>
                <w:spacing w:val="20"/>
                <w:sz w:val="18"/>
                <w:szCs w:val="18"/>
                <w:lang w:val="en-US" w:eastAsia="zh-CN"/>
              </w:rPr>
              <w:t>公司金融</w:t>
            </w:r>
          </w:p>
        </w:tc>
        <w:tc>
          <w:tcPr>
            <w:tcW w:w="567" w:type="dxa"/>
            <w:vAlign w:val="center"/>
          </w:tcPr>
          <w:p w14:paraId="0C94AE57">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3EF0EA51">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3B59ED6F">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03F68429">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2338BB4A">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5275C7AB">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0B79D765">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w:t>
            </w:r>
            <w:r>
              <w:rPr>
                <w:rFonts w:hint="eastAsia" w:ascii="仿宋" w:hAnsi="仿宋" w:eastAsia="仿宋"/>
                <w:bCs/>
                <w:spacing w:val="20"/>
                <w:sz w:val="18"/>
                <w:szCs w:val="18"/>
                <w:lang w:val="en-US" w:eastAsia="zh-CN"/>
              </w:rPr>
              <w:t>查</w:t>
            </w:r>
            <w:r>
              <w:rPr>
                <w:rFonts w:hint="eastAsia" w:ascii="仿宋" w:hAnsi="仿宋" w:eastAsia="仿宋"/>
                <w:bCs/>
                <w:spacing w:val="20"/>
                <w:sz w:val="18"/>
                <w:szCs w:val="18"/>
              </w:rPr>
              <w:t>（线上）</w:t>
            </w:r>
          </w:p>
        </w:tc>
        <w:tc>
          <w:tcPr>
            <w:tcW w:w="1070" w:type="dxa"/>
            <w:vAlign w:val="center"/>
          </w:tcPr>
          <w:p w14:paraId="5C490339">
            <w:pPr>
              <w:widowControl/>
              <w:jc w:val="center"/>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智慧树</w:t>
            </w:r>
          </w:p>
        </w:tc>
      </w:tr>
      <w:tr w14:paraId="0799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vAlign w:val="center"/>
          </w:tcPr>
          <w:p w14:paraId="5A5D80BE">
            <w:pPr>
              <w:widowControl/>
              <w:rPr>
                <w:rFonts w:hint="default" w:ascii="仿宋" w:hAnsi="仿宋" w:eastAsia="仿宋"/>
                <w:bCs/>
                <w:spacing w:val="20"/>
                <w:sz w:val="18"/>
                <w:szCs w:val="18"/>
                <w:lang w:val="en-US" w:eastAsia="zh-CN"/>
              </w:rPr>
            </w:pPr>
            <w:r>
              <w:rPr>
                <w:rFonts w:hint="eastAsia" w:ascii="仿宋" w:hAnsi="仿宋" w:eastAsia="仿宋"/>
                <w:bCs/>
                <w:spacing w:val="20"/>
                <w:sz w:val="18"/>
                <w:szCs w:val="18"/>
                <w:lang w:val="en-US" w:eastAsia="zh-CN"/>
              </w:rPr>
              <w:t>固定收益证券</w:t>
            </w:r>
          </w:p>
        </w:tc>
        <w:tc>
          <w:tcPr>
            <w:tcW w:w="567" w:type="dxa"/>
            <w:vAlign w:val="center"/>
          </w:tcPr>
          <w:p w14:paraId="171DD043">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2</w:t>
            </w:r>
          </w:p>
        </w:tc>
        <w:tc>
          <w:tcPr>
            <w:tcW w:w="708" w:type="dxa"/>
            <w:vAlign w:val="center"/>
          </w:tcPr>
          <w:p w14:paraId="6DCB4B31">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2B108120">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9" w:type="dxa"/>
            <w:vAlign w:val="center"/>
          </w:tcPr>
          <w:p w14:paraId="333678E0">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709" w:type="dxa"/>
            <w:vAlign w:val="center"/>
          </w:tcPr>
          <w:p w14:paraId="4BC7F175">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32</w:t>
            </w:r>
          </w:p>
        </w:tc>
        <w:tc>
          <w:tcPr>
            <w:tcW w:w="708" w:type="dxa"/>
            <w:vAlign w:val="center"/>
          </w:tcPr>
          <w:p w14:paraId="5086E54D">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0</w:t>
            </w:r>
          </w:p>
        </w:tc>
        <w:tc>
          <w:tcPr>
            <w:tcW w:w="1560" w:type="dxa"/>
            <w:vAlign w:val="center"/>
          </w:tcPr>
          <w:p w14:paraId="6217A5F8">
            <w:pPr>
              <w:widowControl/>
              <w:jc w:val="center"/>
              <w:rPr>
                <w:rFonts w:hint="eastAsia" w:ascii="仿宋" w:hAnsi="仿宋" w:eastAsia="仿宋"/>
                <w:bCs/>
                <w:spacing w:val="20"/>
                <w:sz w:val="18"/>
                <w:szCs w:val="18"/>
              </w:rPr>
            </w:pPr>
            <w:r>
              <w:rPr>
                <w:rFonts w:hint="eastAsia" w:ascii="仿宋" w:hAnsi="仿宋" w:eastAsia="仿宋"/>
                <w:bCs/>
                <w:spacing w:val="20"/>
                <w:sz w:val="18"/>
                <w:szCs w:val="18"/>
              </w:rPr>
              <w:t>考</w:t>
            </w:r>
            <w:r>
              <w:rPr>
                <w:rFonts w:hint="eastAsia" w:ascii="仿宋" w:hAnsi="仿宋" w:eastAsia="仿宋"/>
                <w:bCs/>
                <w:spacing w:val="20"/>
                <w:sz w:val="18"/>
                <w:szCs w:val="18"/>
                <w:lang w:val="en-US" w:eastAsia="zh-CN"/>
              </w:rPr>
              <w:t>查</w:t>
            </w:r>
            <w:r>
              <w:rPr>
                <w:rFonts w:hint="eastAsia" w:ascii="仿宋" w:hAnsi="仿宋" w:eastAsia="仿宋"/>
                <w:bCs/>
                <w:spacing w:val="20"/>
                <w:sz w:val="18"/>
                <w:szCs w:val="18"/>
              </w:rPr>
              <w:t>（线上）</w:t>
            </w:r>
          </w:p>
        </w:tc>
        <w:tc>
          <w:tcPr>
            <w:tcW w:w="1070" w:type="dxa"/>
            <w:vAlign w:val="center"/>
          </w:tcPr>
          <w:p w14:paraId="4047039E">
            <w:pPr>
              <w:widowControl/>
              <w:jc w:val="center"/>
              <w:rPr>
                <w:rFonts w:hint="eastAsia" w:ascii="仿宋" w:hAnsi="仿宋" w:eastAsia="仿宋"/>
                <w:bCs/>
                <w:spacing w:val="20"/>
                <w:sz w:val="18"/>
                <w:szCs w:val="18"/>
                <w:lang w:eastAsia="zh-CN"/>
              </w:rPr>
            </w:pPr>
            <w:r>
              <w:rPr>
                <w:rFonts w:hint="eastAsia" w:ascii="仿宋" w:hAnsi="仿宋" w:eastAsia="仿宋"/>
                <w:bCs/>
                <w:spacing w:val="20"/>
                <w:sz w:val="18"/>
                <w:szCs w:val="18"/>
                <w:lang w:val="en-US" w:eastAsia="zh-CN"/>
              </w:rPr>
              <w:t>学银在线</w:t>
            </w:r>
          </w:p>
        </w:tc>
      </w:tr>
      <w:tr w14:paraId="2638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5" w:type="dxa"/>
            <w:tcBorders>
              <w:bottom w:val="single" w:color="auto" w:sz="4" w:space="0"/>
            </w:tcBorders>
            <w:vAlign w:val="center"/>
          </w:tcPr>
          <w:p w14:paraId="7C6D0432">
            <w:pPr>
              <w:widowControl/>
              <w:jc w:val="center"/>
              <w:rPr>
                <w:rFonts w:hint="eastAsia" w:ascii="黑体" w:hAnsi="黑体" w:eastAsia="黑体"/>
                <w:bCs/>
                <w:sz w:val="18"/>
                <w:szCs w:val="18"/>
              </w:rPr>
            </w:pPr>
            <w:r>
              <w:rPr>
                <w:rFonts w:hint="eastAsia" w:ascii="黑体" w:hAnsi="黑体" w:eastAsia="黑体"/>
                <w:bCs/>
                <w:sz w:val="18"/>
                <w:szCs w:val="18"/>
              </w:rPr>
              <w:t>合计</w:t>
            </w:r>
          </w:p>
        </w:tc>
        <w:tc>
          <w:tcPr>
            <w:tcW w:w="567" w:type="dxa"/>
            <w:tcBorders>
              <w:bottom w:val="single" w:color="auto" w:sz="4" w:space="0"/>
            </w:tcBorders>
            <w:vAlign w:val="center"/>
          </w:tcPr>
          <w:p w14:paraId="247C811A">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12</w:t>
            </w:r>
          </w:p>
        </w:tc>
        <w:tc>
          <w:tcPr>
            <w:tcW w:w="708" w:type="dxa"/>
            <w:tcBorders>
              <w:bottom w:val="single" w:color="auto" w:sz="4" w:space="0"/>
            </w:tcBorders>
            <w:vAlign w:val="center"/>
          </w:tcPr>
          <w:p w14:paraId="57719949">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192</w:t>
            </w:r>
          </w:p>
        </w:tc>
        <w:tc>
          <w:tcPr>
            <w:tcW w:w="709" w:type="dxa"/>
            <w:tcBorders>
              <w:bottom w:val="single" w:color="auto" w:sz="4" w:space="0"/>
            </w:tcBorders>
            <w:vAlign w:val="center"/>
          </w:tcPr>
          <w:p w14:paraId="3C12735D">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192</w:t>
            </w:r>
          </w:p>
        </w:tc>
        <w:tc>
          <w:tcPr>
            <w:tcW w:w="709" w:type="dxa"/>
            <w:tcBorders>
              <w:bottom w:val="single" w:color="auto" w:sz="4" w:space="0"/>
            </w:tcBorders>
            <w:vAlign w:val="center"/>
          </w:tcPr>
          <w:p w14:paraId="2AE09B91">
            <w:pPr>
              <w:widowControl/>
              <w:jc w:val="center"/>
              <w:rPr>
                <w:rFonts w:hint="eastAsia" w:ascii="仿宋" w:hAnsi="仿宋" w:eastAsia="仿宋"/>
                <w:b/>
                <w:spacing w:val="20"/>
                <w:sz w:val="18"/>
                <w:szCs w:val="18"/>
              </w:rPr>
            </w:pPr>
            <w:r>
              <w:rPr>
                <w:rFonts w:hint="eastAsia" w:ascii="仿宋" w:hAnsi="仿宋" w:eastAsia="仿宋"/>
                <w:b/>
                <w:spacing w:val="20"/>
                <w:sz w:val="18"/>
                <w:szCs w:val="18"/>
              </w:rPr>
              <w:t>0</w:t>
            </w:r>
          </w:p>
        </w:tc>
        <w:tc>
          <w:tcPr>
            <w:tcW w:w="709" w:type="dxa"/>
            <w:tcBorders>
              <w:bottom w:val="single" w:color="auto" w:sz="4" w:space="0"/>
            </w:tcBorders>
            <w:vAlign w:val="center"/>
          </w:tcPr>
          <w:p w14:paraId="05BCC8EB">
            <w:pPr>
              <w:widowControl/>
              <w:jc w:val="center"/>
              <w:rPr>
                <w:rFonts w:hint="eastAsia" w:ascii="仿宋" w:hAnsi="仿宋" w:eastAsia="仿宋"/>
                <w:b/>
                <w:spacing w:val="20"/>
                <w:sz w:val="18"/>
                <w:szCs w:val="18"/>
              </w:rPr>
            </w:pPr>
            <w:r>
              <w:rPr>
                <w:rFonts w:hint="eastAsia" w:ascii="仿宋" w:hAnsi="仿宋" w:eastAsia="仿宋"/>
                <w:b/>
                <w:spacing w:val="20"/>
                <w:sz w:val="18"/>
                <w:szCs w:val="18"/>
              </w:rPr>
              <w:t>192</w:t>
            </w:r>
          </w:p>
        </w:tc>
        <w:tc>
          <w:tcPr>
            <w:tcW w:w="708" w:type="dxa"/>
            <w:tcBorders>
              <w:bottom w:val="single" w:color="auto" w:sz="4" w:space="0"/>
            </w:tcBorders>
            <w:vAlign w:val="center"/>
          </w:tcPr>
          <w:p w14:paraId="36749E89">
            <w:pPr>
              <w:widowControl/>
              <w:jc w:val="center"/>
              <w:rPr>
                <w:rFonts w:hint="eastAsia" w:ascii="仿宋" w:hAnsi="仿宋" w:eastAsia="仿宋"/>
                <w:b/>
                <w:spacing w:val="20"/>
                <w:sz w:val="18"/>
                <w:szCs w:val="18"/>
              </w:rPr>
            </w:pPr>
            <w:r>
              <w:rPr>
                <w:rFonts w:hint="eastAsia" w:ascii="仿宋" w:hAnsi="仿宋" w:eastAsia="仿宋"/>
                <w:b/>
                <w:spacing w:val="20"/>
                <w:sz w:val="18"/>
                <w:szCs w:val="18"/>
              </w:rPr>
              <w:t>0</w:t>
            </w:r>
          </w:p>
        </w:tc>
        <w:tc>
          <w:tcPr>
            <w:tcW w:w="1560" w:type="dxa"/>
            <w:tcBorders>
              <w:bottom w:val="single" w:color="auto" w:sz="4" w:space="0"/>
            </w:tcBorders>
            <w:vAlign w:val="center"/>
          </w:tcPr>
          <w:p w14:paraId="32F2CC55">
            <w:pPr>
              <w:widowControl/>
              <w:jc w:val="center"/>
              <w:rPr>
                <w:rFonts w:hint="eastAsia" w:ascii="仿宋" w:hAnsi="仿宋" w:eastAsia="仿宋"/>
                <w:b/>
                <w:spacing w:val="20"/>
                <w:sz w:val="18"/>
                <w:szCs w:val="18"/>
              </w:rPr>
            </w:pPr>
            <w:r>
              <w:rPr>
                <w:rFonts w:hint="eastAsia" w:ascii="仿宋" w:hAnsi="仿宋" w:eastAsia="仿宋"/>
                <w:b/>
                <w:spacing w:val="20"/>
                <w:sz w:val="18"/>
                <w:szCs w:val="18"/>
              </w:rPr>
              <w:t>-</w:t>
            </w:r>
          </w:p>
        </w:tc>
        <w:tc>
          <w:tcPr>
            <w:tcW w:w="1070" w:type="dxa"/>
            <w:tcBorders>
              <w:bottom w:val="single" w:color="auto" w:sz="4" w:space="0"/>
            </w:tcBorders>
            <w:vAlign w:val="center"/>
          </w:tcPr>
          <w:p w14:paraId="27959533">
            <w:pPr>
              <w:widowControl/>
              <w:jc w:val="center"/>
              <w:rPr>
                <w:rFonts w:hint="eastAsia" w:ascii="仿宋" w:hAnsi="仿宋" w:eastAsia="仿宋"/>
                <w:b/>
                <w:spacing w:val="20"/>
                <w:sz w:val="18"/>
                <w:szCs w:val="18"/>
              </w:rPr>
            </w:pPr>
            <w:r>
              <w:rPr>
                <w:rFonts w:hint="eastAsia" w:ascii="仿宋" w:hAnsi="仿宋" w:eastAsia="仿宋"/>
                <w:b/>
                <w:spacing w:val="20"/>
                <w:sz w:val="18"/>
                <w:szCs w:val="18"/>
              </w:rPr>
              <w:t>-</w:t>
            </w:r>
          </w:p>
        </w:tc>
      </w:tr>
    </w:tbl>
    <w:p w14:paraId="5C7B70B1">
      <w:pPr>
        <w:widowControl/>
        <w:ind w:firstLine="560" w:firstLineChars="200"/>
        <w:jc w:val="left"/>
        <w:rPr>
          <w:rFonts w:hint="eastAsia" w:ascii="黑体" w:hAnsi="黑体" w:eastAsia="黑体" w:cs="黑体"/>
          <w:bCs/>
          <w:sz w:val="28"/>
          <w:szCs w:val="28"/>
        </w:rPr>
      </w:pPr>
    </w:p>
    <w:p w14:paraId="5F104A35">
      <w:pPr>
        <w:widowControl/>
        <w:numPr>
          <w:ilvl w:val="0"/>
          <w:numId w:val="1"/>
        </w:numPr>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课程简介</w:t>
      </w:r>
      <w:bookmarkStart w:id="3" w:name="_GoBack"/>
      <w:bookmarkEnd w:id="3"/>
    </w:p>
    <w:tbl>
      <w:tblPr>
        <w:tblStyle w:val="7"/>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524"/>
        <w:gridCol w:w="5922"/>
      </w:tblGrid>
      <w:tr w14:paraId="2643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704" w:type="dxa"/>
            <w:tcBorders>
              <w:top w:val="single" w:color="auto" w:sz="4" w:space="0"/>
            </w:tcBorders>
            <w:vAlign w:val="center"/>
          </w:tcPr>
          <w:p w14:paraId="63F32535">
            <w:pPr>
              <w:widowControl/>
              <w:jc w:val="center"/>
              <w:rPr>
                <w:rFonts w:hint="eastAsia" w:ascii="黑体" w:hAnsi="黑体" w:eastAsia="黑体" w:cs="黑体"/>
                <w:b/>
                <w:spacing w:val="20"/>
                <w:sz w:val="28"/>
                <w:szCs w:val="28"/>
              </w:rPr>
            </w:pPr>
          </w:p>
        </w:tc>
        <w:tc>
          <w:tcPr>
            <w:tcW w:w="2524" w:type="dxa"/>
            <w:tcBorders>
              <w:top w:val="single" w:color="auto" w:sz="4" w:space="0"/>
            </w:tcBorders>
            <w:vAlign w:val="center"/>
          </w:tcPr>
          <w:p w14:paraId="01E743E4">
            <w:pPr>
              <w:widowControl/>
              <w:jc w:val="center"/>
              <w:rPr>
                <w:rFonts w:hint="eastAsia" w:ascii="黑体" w:hAnsi="黑体" w:eastAsia="黑体" w:cs="黑体"/>
                <w:b/>
                <w:spacing w:val="20"/>
                <w:sz w:val="28"/>
                <w:szCs w:val="28"/>
              </w:rPr>
            </w:pPr>
            <w:r>
              <w:rPr>
                <w:rFonts w:hint="eastAsia" w:ascii="黑体" w:hAnsi="黑体" w:eastAsia="黑体" w:cs="黑体"/>
                <w:b/>
                <w:spacing w:val="20"/>
                <w:sz w:val="28"/>
                <w:szCs w:val="28"/>
              </w:rPr>
              <w:t>课程名称和链接</w:t>
            </w:r>
          </w:p>
        </w:tc>
        <w:tc>
          <w:tcPr>
            <w:tcW w:w="5922" w:type="dxa"/>
            <w:tcBorders>
              <w:top w:val="single" w:color="auto" w:sz="4" w:space="0"/>
              <w:bottom w:val="single" w:color="auto" w:sz="4" w:space="0"/>
            </w:tcBorders>
            <w:vAlign w:val="center"/>
          </w:tcPr>
          <w:p w14:paraId="202428F1">
            <w:pPr>
              <w:widowControl/>
              <w:jc w:val="center"/>
              <w:rPr>
                <w:rFonts w:hint="eastAsia" w:ascii="黑体" w:hAnsi="黑体" w:eastAsia="黑体" w:cs="黑体"/>
                <w:bCs/>
                <w:sz w:val="28"/>
                <w:szCs w:val="28"/>
              </w:rPr>
            </w:pPr>
            <w:r>
              <w:rPr>
                <w:rFonts w:hint="eastAsia" w:ascii="黑体" w:hAnsi="黑体" w:eastAsia="黑体" w:cs="黑体"/>
                <w:b/>
                <w:spacing w:val="20"/>
                <w:sz w:val="28"/>
                <w:szCs w:val="28"/>
              </w:rPr>
              <w:t>课程简介</w:t>
            </w:r>
          </w:p>
        </w:tc>
      </w:tr>
      <w:tr w14:paraId="257A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exact"/>
          <w:jc w:val="center"/>
        </w:trPr>
        <w:tc>
          <w:tcPr>
            <w:tcW w:w="704" w:type="dxa"/>
            <w:vAlign w:val="center"/>
          </w:tcPr>
          <w:p w14:paraId="11EA6D42">
            <w:pPr>
              <w:widowControl/>
              <w:jc w:val="center"/>
              <w:rPr>
                <w:rFonts w:hint="eastAsia" w:eastAsia="黑体"/>
                <w:bCs/>
                <w:sz w:val="21"/>
                <w:szCs w:val="21"/>
              </w:rPr>
            </w:pPr>
            <w:r>
              <w:rPr>
                <w:rFonts w:hint="eastAsia" w:eastAsia="黑体"/>
                <w:bCs/>
                <w:sz w:val="21"/>
                <w:szCs w:val="21"/>
              </w:rPr>
              <w:t>1</w:t>
            </w:r>
          </w:p>
        </w:tc>
        <w:tc>
          <w:tcPr>
            <w:tcW w:w="2524" w:type="dxa"/>
            <w:vAlign w:val="center"/>
          </w:tcPr>
          <w:p w14:paraId="2444A116">
            <w:pPr>
              <w:widowControl/>
              <w:jc w:val="center"/>
              <w:rPr>
                <w:rFonts w:hint="eastAsia" w:eastAsia="仿宋"/>
                <w:bCs/>
                <w:spacing w:val="20"/>
                <w:sz w:val="21"/>
                <w:szCs w:val="21"/>
                <w:lang w:val="en-US" w:eastAsia="zh-CN"/>
              </w:rPr>
            </w:pPr>
            <w:r>
              <w:rPr>
                <w:rFonts w:hint="eastAsia" w:eastAsia="仿宋"/>
                <w:bCs/>
                <w:spacing w:val="20"/>
                <w:sz w:val="21"/>
                <w:szCs w:val="21"/>
                <w:lang w:val="en-US" w:eastAsia="zh-CN"/>
              </w:rPr>
              <w:t>金融学</w:t>
            </w:r>
          </w:p>
          <w:p w14:paraId="696E40B6">
            <w:pPr>
              <w:widowControl/>
              <w:jc w:val="center"/>
              <w:rPr>
                <w:rFonts w:eastAsia="黑体"/>
                <w:bCs/>
                <w:sz w:val="21"/>
                <w:szCs w:val="21"/>
              </w:rPr>
            </w:pPr>
            <w:r>
              <w:rPr>
                <w:rFonts w:hint="eastAsia" w:eastAsia="仿宋"/>
                <w:bCs/>
                <w:spacing w:val="20"/>
                <w:sz w:val="21"/>
                <w:szCs w:val="21"/>
              </w:rPr>
              <w:t>（</w:t>
            </w:r>
            <w:r>
              <w:rPr>
                <w:rFonts w:hint="eastAsia" w:eastAsia="仿宋"/>
                <w:bCs/>
                <w:sz w:val="21"/>
                <w:szCs w:val="21"/>
              </w:rPr>
              <w:t>课程</w:t>
            </w:r>
            <w:r>
              <w:rPr>
                <w:rFonts w:hint="eastAsia" w:eastAsia="仿宋"/>
                <w:bCs/>
                <w:sz w:val="21"/>
                <w:szCs w:val="21"/>
                <w:lang w:val="en-US" w:eastAsia="zh-CN"/>
              </w:rPr>
              <w:t>平台</w:t>
            </w:r>
            <w:r>
              <w:rPr>
                <w:rFonts w:hint="eastAsia" w:eastAsia="仿宋"/>
                <w:bCs/>
                <w:sz w:val="21"/>
                <w:szCs w:val="21"/>
              </w:rPr>
              <w:t>：</w:t>
            </w:r>
            <w:r>
              <w:rPr>
                <w:rFonts w:hint="eastAsia" w:eastAsia="仿宋"/>
                <w:bCs/>
                <w:sz w:val="21"/>
                <w:szCs w:val="21"/>
                <w:lang w:val="en-US" w:eastAsia="zh-CN"/>
              </w:rPr>
              <w:t>大学慕课网</w:t>
            </w:r>
            <w:r>
              <w:rPr>
                <w:rFonts w:hint="eastAsia" w:eastAsia="仿宋"/>
                <w:bCs/>
                <w:sz w:val="21"/>
                <w:szCs w:val="21"/>
              </w:rPr>
              <w:t>https://www.icourse163.org/course/CUEB-1207121816</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214D260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Helvetica" w:hAnsi="Helvetica" w:cs="Helvetica"/>
                <w:i w:val="0"/>
                <w:iCs w:val="0"/>
                <w:caps w:val="0"/>
                <w:color w:val="666666"/>
                <w:spacing w:val="0"/>
                <w:sz w:val="18"/>
                <w:szCs w:val="18"/>
                <w:shd w:val="clear" w:fill="FFFFFF"/>
                <w:lang w:eastAsia="zh-CN"/>
              </w:rPr>
            </w:pPr>
            <w:r>
              <w:rPr>
                <w:rFonts w:hint="default" w:ascii="Helvetica" w:hAnsi="Helvetica" w:eastAsia="Helvetica" w:cs="Helvetica"/>
                <w:i w:val="0"/>
                <w:iCs w:val="0"/>
                <w:caps w:val="0"/>
                <w:color w:val="666666"/>
                <w:spacing w:val="0"/>
                <w:sz w:val="18"/>
                <w:szCs w:val="18"/>
                <w:shd w:val="clear" w:fill="FFFFFF"/>
              </w:rPr>
              <w:t>本课程是金融学专业的必修课程</w:t>
            </w:r>
            <w:r>
              <w:rPr>
                <w:rFonts w:hint="eastAsia" w:ascii="Helvetica" w:hAnsi="Helvetica" w:cs="Helvetica"/>
                <w:i w:val="0"/>
                <w:iCs w:val="0"/>
                <w:caps w:val="0"/>
                <w:color w:val="666666"/>
                <w:spacing w:val="0"/>
                <w:sz w:val="18"/>
                <w:szCs w:val="18"/>
                <w:shd w:val="clear" w:fill="FFFFFF"/>
                <w:lang w:eastAsia="zh-CN"/>
              </w:rPr>
              <w:t>，</w:t>
            </w:r>
            <w:r>
              <w:rPr>
                <w:rFonts w:hint="default" w:ascii="Helvetica" w:hAnsi="Helvetica" w:eastAsia="Helvetica" w:cs="Helvetica"/>
                <w:i w:val="0"/>
                <w:iCs w:val="0"/>
                <w:caps w:val="0"/>
                <w:color w:val="666666"/>
                <w:spacing w:val="0"/>
                <w:sz w:val="18"/>
                <w:szCs w:val="18"/>
                <w:shd w:val="clear" w:fill="FFFFFF"/>
              </w:rPr>
              <w:t>讲述金融学的入门知识</w:t>
            </w:r>
            <w:r>
              <w:rPr>
                <w:rFonts w:hint="eastAsia" w:ascii="Helvetica" w:hAnsi="Helvetica" w:cs="Helvetica"/>
                <w:i w:val="0"/>
                <w:iCs w:val="0"/>
                <w:caps w:val="0"/>
                <w:color w:val="666666"/>
                <w:spacing w:val="0"/>
                <w:sz w:val="18"/>
                <w:szCs w:val="18"/>
                <w:shd w:val="clear" w:fill="FFFFFF"/>
                <w:lang w:eastAsia="zh-CN"/>
              </w:rPr>
              <w:t>：</w:t>
            </w:r>
          </w:p>
          <w:p w14:paraId="46E0807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sz w:val="18"/>
                <w:szCs w:val="18"/>
                <w:shd w:val="clear" w:fill="FFFFFF"/>
              </w:rPr>
              <w:t>在导论部分，本课程将讨论为什么研究货币、银行与金融市场，简述金融体系，定义货币</w:t>
            </w:r>
            <w:r>
              <w:rPr>
                <w:rFonts w:hint="eastAsia" w:ascii="Helvetica" w:hAnsi="Helvetica" w:cs="Helvetica"/>
                <w:i w:val="0"/>
                <w:iCs w:val="0"/>
                <w:caps w:val="0"/>
                <w:color w:val="666666"/>
                <w:spacing w:val="0"/>
                <w:sz w:val="18"/>
                <w:szCs w:val="18"/>
                <w:shd w:val="clear" w:fill="FFFFFF"/>
                <w:lang w:eastAsia="zh-CN"/>
              </w:rPr>
              <w:t>；</w:t>
            </w:r>
            <w:r>
              <w:rPr>
                <w:rFonts w:hint="default" w:ascii="Helvetica" w:hAnsi="Helvetica" w:eastAsia="Helvetica" w:cs="Helvetica"/>
                <w:i w:val="0"/>
                <w:iCs w:val="0"/>
                <w:caps w:val="0"/>
                <w:color w:val="666666"/>
                <w:spacing w:val="0"/>
                <w:sz w:val="18"/>
                <w:szCs w:val="18"/>
                <w:shd w:val="clear" w:fill="FFFFFF"/>
              </w:rPr>
              <w:t>在金融市场部分，本课程将讨论利率的计算、决定和结构，分析股票市场和金融衍生工具</w:t>
            </w:r>
            <w:r>
              <w:rPr>
                <w:rFonts w:hint="eastAsia" w:ascii="Helvetica" w:hAnsi="Helvetica" w:cs="Helvetica"/>
                <w:i w:val="0"/>
                <w:iCs w:val="0"/>
                <w:caps w:val="0"/>
                <w:color w:val="666666"/>
                <w:spacing w:val="0"/>
                <w:sz w:val="18"/>
                <w:szCs w:val="18"/>
                <w:shd w:val="clear" w:fill="FFFFFF"/>
                <w:lang w:eastAsia="zh-CN"/>
              </w:rPr>
              <w:t>；</w:t>
            </w:r>
            <w:r>
              <w:rPr>
                <w:rFonts w:hint="default" w:ascii="Helvetica" w:hAnsi="Helvetica" w:eastAsia="Helvetica" w:cs="Helvetica"/>
                <w:i w:val="0"/>
                <w:iCs w:val="0"/>
                <w:caps w:val="0"/>
                <w:color w:val="666666"/>
                <w:spacing w:val="0"/>
                <w:sz w:val="18"/>
                <w:szCs w:val="18"/>
                <w:shd w:val="clear" w:fill="FFFFFF"/>
              </w:rPr>
              <w:t>在金融机构部分，本课程将关注金融结构、银行的管理、监管，以及金融危机</w:t>
            </w:r>
            <w:r>
              <w:rPr>
                <w:rFonts w:hint="eastAsia" w:ascii="Helvetica" w:hAnsi="Helvetica" w:cs="Helvetica"/>
                <w:i w:val="0"/>
                <w:iCs w:val="0"/>
                <w:caps w:val="0"/>
                <w:color w:val="666666"/>
                <w:spacing w:val="0"/>
                <w:sz w:val="18"/>
                <w:szCs w:val="18"/>
                <w:shd w:val="clear" w:fill="FFFFFF"/>
                <w:lang w:eastAsia="zh-CN"/>
              </w:rPr>
              <w:t>；</w:t>
            </w:r>
            <w:r>
              <w:rPr>
                <w:rFonts w:hint="default" w:ascii="Helvetica" w:hAnsi="Helvetica" w:eastAsia="Helvetica" w:cs="Helvetica"/>
                <w:i w:val="0"/>
                <w:iCs w:val="0"/>
                <w:caps w:val="0"/>
                <w:color w:val="666666"/>
                <w:spacing w:val="0"/>
                <w:sz w:val="18"/>
                <w:szCs w:val="18"/>
                <w:shd w:val="clear" w:fill="FFFFFF"/>
              </w:rPr>
              <w:t>在货币理论与政策部分，本课程将讨论货币理论与政策，重点分析货币需求、中央银行、货币供给等</w:t>
            </w:r>
            <w:r>
              <w:rPr>
                <w:rFonts w:hint="eastAsia" w:ascii="Helvetica" w:hAnsi="Helvetica" w:cs="Helvetica"/>
                <w:i w:val="0"/>
                <w:iCs w:val="0"/>
                <w:caps w:val="0"/>
                <w:color w:val="666666"/>
                <w:spacing w:val="0"/>
                <w:sz w:val="18"/>
                <w:szCs w:val="18"/>
                <w:shd w:val="clear" w:fill="FFFFFF"/>
                <w:lang w:eastAsia="zh-CN"/>
              </w:rPr>
              <w:t>；</w:t>
            </w:r>
            <w:r>
              <w:rPr>
                <w:rFonts w:hint="default" w:ascii="Helvetica" w:hAnsi="Helvetica" w:eastAsia="Helvetica" w:cs="Helvetica"/>
                <w:i w:val="0"/>
                <w:iCs w:val="0"/>
                <w:caps w:val="0"/>
                <w:color w:val="666666"/>
                <w:spacing w:val="0"/>
                <w:sz w:val="18"/>
                <w:szCs w:val="18"/>
                <w:shd w:val="clear" w:fill="FFFFFF"/>
              </w:rPr>
              <w:t>在国际金融部分，本课程将讲述外汇市场和国际金融体系。</w:t>
            </w:r>
          </w:p>
          <w:p w14:paraId="4F9F1879">
            <w:pPr>
              <w:widowControl/>
              <w:jc w:val="left"/>
              <w:rPr>
                <w:rFonts w:hint="default" w:eastAsia="仿宋"/>
                <w:bCs/>
                <w:sz w:val="21"/>
                <w:szCs w:val="21"/>
                <w:lang w:val="en-US" w:eastAsia="zh-CN"/>
              </w:rPr>
            </w:pPr>
          </w:p>
        </w:tc>
      </w:tr>
      <w:tr w14:paraId="4D1B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9" w:hRule="exact"/>
          <w:jc w:val="center"/>
        </w:trPr>
        <w:tc>
          <w:tcPr>
            <w:tcW w:w="704" w:type="dxa"/>
            <w:vAlign w:val="center"/>
          </w:tcPr>
          <w:p w14:paraId="6FCEE517">
            <w:pPr>
              <w:widowControl/>
              <w:jc w:val="center"/>
              <w:rPr>
                <w:rFonts w:hint="eastAsia" w:eastAsia="黑体"/>
                <w:bCs/>
                <w:sz w:val="21"/>
                <w:szCs w:val="21"/>
              </w:rPr>
            </w:pPr>
            <w:r>
              <w:rPr>
                <w:rFonts w:hint="eastAsia" w:eastAsia="黑体"/>
                <w:bCs/>
                <w:sz w:val="21"/>
                <w:szCs w:val="21"/>
              </w:rPr>
              <w:t>2</w:t>
            </w:r>
          </w:p>
        </w:tc>
        <w:tc>
          <w:tcPr>
            <w:tcW w:w="2524" w:type="dxa"/>
            <w:vAlign w:val="center"/>
          </w:tcPr>
          <w:p w14:paraId="067B0C08">
            <w:pPr>
              <w:widowControl/>
              <w:jc w:val="center"/>
              <w:rPr>
                <w:rFonts w:hint="eastAsia" w:eastAsia="仿宋"/>
                <w:bCs/>
                <w:spacing w:val="20"/>
                <w:sz w:val="21"/>
                <w:szCs w:val="21"/>
                <w:lang w:val="en-US" w:eastAsia="zh-CN"/>
              </w:rPr>
            </w:pPr>
            <w:r>
              <w:rPr>
                <w:rFonts w:hint="eastAsia" w:eastAsia="仿宋"/>
                <w:bCs/>
                <w:spacing w:val="20"/>
                <w:sz w:val="21"/>
                <w:szCs w:val="21"/>
                <w:lang w:val="en-US" w:eastAsia="zh-CN"/>
              </w:rPr>
              <w:t>国际金融学</w:t>
            </w:r>
          </w:p>
          <w:p w14:paraId="6F37873B">
            <w:pPr>
              <w:widowControl/>
              <w:jc w:val="center"/>
              <w:rPr>
                <w:rFonts w:hint="eastAsia" w:eastAsia="黑体"/>
                <w:bCs/>
                <w:sz w:val="21"/>
                <w:szCs w:val="21"/>
              </w:rPr>
            </w:pPr>
            <w:r>
              <w:rPr>
                <w:rFonts w:hint="eastAsia" w:eastAsia="仿宋"/>
                <w:bCs/>
                <w:spacing w:val="20"/>
                <w:sz w:val="21"/>
                <w:szCs w:val="21"/>
              </w:rPr>
              <w:t>（课程</w:t>
            </w:r>
            <w:r>
              <w:rPr>
                <w:rFonts w:hint="eastAsia" w:eastAsia="仿宋"/>
                <w:bCs/>
                <w:spacing w:val="20"/>
                <w:sz w:val="21"/>
                <w:szCs w:val="21"/>
                <w:lang w:val="en-US" w:eastAsia="zh-CN"/>
              </w:rPr>
              <w:t>平台</w:t>
            </w:r>
            <w:r>
              <w:rPr>
                <w:rFonts w:hint="eastAsia" w:eastAsia="仿宋"/>
                <w:bCs/>
                <w:spacing w:val="20"/>
                <w:sz w:val="21"/>
                <w:szCs w:val="21"/>
              </w:rPr>
              <w:t>：</w:t>
            </w:r>
            <w:r>
              <w:rPr>
                <w:rFonts w:hint="eastAsia" w:eastAsia="仿宋"/>
                <w:bCs/>
                <w:spacing w:val="20"/>
                <w:sz w:val="21"/>
                <w:szCs w:val="21"/>
                <w:lang w:val="en-US" w:eastAsia="zh-CN"/>
              </w:rPr>
              <w:t>智慧树</w:t>
            </w:r>
            <w:r>
              <w:rPr>
                <w:rFonts w:hint="eastAsia"/>
              </w:rPr>
              <w:t>https://portals.zhihuishu.com/cueb/shareCourse</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27DEADCC">
            <w:pPr>
              <w:widowControl/>
              <w:jc w:val="left"/>
              <w:rPr>
                <w:rFonts w:hint="eastAsia" w:eastAsia="仿宋"/>
                <w:bCs/>
                <w:sz w:val="21"/>
                <w:szCs w:val="21"/>
              </w:rPr>
            </w:pPr>
            <w:r>
              <w:rPr>
                <w:rFonts w:hint="eastAsia" w:eastAsia="仿宋"/>
                <w:bCs/>
                <w:sz w:val="21"/>
                <w:szCs w:val="21"/>
              </w:rPr>
              <w:t>国际产品流通和国际资产配置带来了国际金融市场的繁荣，对一国国内经济和政策产生了重大影响。这既需要我们发现、总结和利用新的国际经济规律，也对国际经济活动的国际监管和协调提出了要求。   国际金融学的学术研究和教学课程就旨在发现、传播和帮助理解国际经济规律，为国家政策部门提供决策支持，促进企业和家庭住户等微观经济主体分散投资和融资，降低投资与汇率风险，提高投资收益。</w:t>
            </w:r>
          </w:p>
          <w:p w14:paraId="1904180F">
            <w:pPr>
              <w:widowControl/>
              <w:jc w:val="left"/>
              <w:rPr>
                <w:rFonts w:hint="eastAsia" w:eastAsia="仿宋"/>
                <w:bCs/>
                <w:sz w:val="21"/>
                <w:szCs w:val="21"/>
              </w:rPr>
            </w:pPr>
          </w:p>
        </w:tc>
      </w:tr>
      <w:tr w14:paraId="4DC6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7" w:hRule="exact"/>
          <w:jc w:val="center"/>
        </w:trPr>
        <w:tc>
          <w:tcPr>
            <w:tcW w:w="704" w:type="dxa"/>
            <w:vAlign w:val="center"/>
          </w:tcPr>
          <w:p w14:paraId="3CD4911A">
            <w:pPr>
              <w:widowControl/>
              <w:jc w:val="center"/>
              <w:rPr>
                <w:rFonts w:hint="eastAsia" w:eastAsia="黑体"/>
                <w:bCs/>
                <w:sz w:val="21"/>
                <w:szCs w:val="21"/>
              </w:rPr>
            </w:pPr>
            <w:r>
              <w:rPr>
                <w:rFonts w:hint="eastAsia" w:eastAsia="黑体"/>
                <w:bCs/>
                <w:sz w:val="21"/>
                <w:szCs w:val="21"/>
              </w:rPr>
              <w:t>3</w:t>
            </w:r>
          </w:p>
        </w:tc>
        <w:tc>
          <w:tcPr>
            <w:tcW w:w="2524" w:type="dxa"/>
            <w:vAlign w:val="center"/>
          </w:tcPr>
          <w:p w14:paraId="6FA47AF6">
            <w:pPr>
              <w:widowControl/>
              <w:jc w:val="center"/>
              <w:rPr>
                <w:rFonts w:hint="eastAsia" w:eastAsia="仿宋"/>
                <w:bCs/>
                <w:spacing w:val="20"/>
                <w:sz w:val="21"/>
                <w:szCs w:val="21"/>
                <w:lang w:val="en-US" w:eastAsia="zh-CN"/>
              </w:rPr>
            </w:pPr>
            <w:r>
              <w:rPr>
                <w:rFonts w:hint="eastAsia" w:eastAsia="仿宋"/>
                <w:bCs/>
                <w:spacing w:val="20"/>
                <w:sz w:val="21"/>
                <w:szCs w:val="21"/>
                <w:lang w:val="en-US" w:eastAsia="zh-CN"/>
              </w:rPr>
              <w:t>投资学</w:t>
            </w:r>
          </w:p>
          <w:p w14:paraId="41CF6744">
            <w:pPr>
              <w:widowControl/>
              <w:jc w:val="center"/>
              <w:rPr>
                <w:rFonts w:hint="eastAsia" w:eastAsia="黑体"/>
                <w:bCs/>
                <w:sz w:val="21"/>
                <w:szCs w:val="21"/>
              </w:rPr>
            </w:pPr>
            <w:r>
              <w:rPr>
                <w:rFonts w:hint="eastAsia" w:eastAsia="仿宋"/>
                <w:bCs/>
                <w:spacing w:val="20"/>
                <w:sz w:val="21"/>
                <w:szCs w:val="21"/>
              </w:rPr>
              <w:t>（课程</w:t>
            </w:r>
            <w:r>
              <w:rPr>
                <w:rFonts w:hint="eastAsia" w:eastAsia="仿宋"/>
                <w:bCs/>
                <w:spacing w:val="20"/>
                <w:sz w:val="21"/>
                <w:szCs w:val="21"/>
                <w:lang w:val="en-US" w:eastAsia="zh-CN"/>
              </w:rPr>
              <w:t>平台</w:t>
            </w:r>
            <w:r>
              <w:rPr>
                <w:rFonts w:hint="eastAsia" w:eastAsia="仿宋"/>
                <w:bCs/>
                <w:spacing w:val="20"/>
                <w:sz w:val="21"/>
                <w:szCs w:val="21"/>
              </w:rPr>
              <w:t>：</w:t>
            </w:r>
            <w:r>
              <w:rPr>
                <w:rFonts w:hint="eastAsia" w:eastAsia="仿宋"/>
                <w:bCs/>
                <w:spacing w:val="20"/>
                <w:sz w:val="21"/>
                <w:szCs w:val="21"/>
                <w:lang w:val="en-US" w:eastAsia="zh-CN"/>
              </w:rPr>
              <w:t>大学慕课网https://www.icourse163.org/course/CUEB-1450866182</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18C4B7A7">
            <w:pPr>
              <w:widowControl/>
              <w:jc w:val="left"/>
              <w:rPr>
                <w:rFonts w:eastAsia="仿宋"/>
                <w:bCs/>
                <w:sz w:val="21"/>
                <w:szCs w:val="21"/>
              </w:rPr>
            </w:pPr>
            <w:r>
              <w:rPr>
                <w:rFonts w:ascii="Helvetica" w:hAnsi="Helvetica" w:eastAsia="Helvetica" w:cs="Helvetica"/>
                <w:i w:val="0"/>
                <w:iCs w:val="0"/>
                <w:caps w:val="0"/>
                <w:color w:val="666666"/>
                <w:spacing w:val="0"/>
                <w:sz w:val="18"/>
                <w:szCs w:val="18"/>
                <w:shd w:val="clear" w:fill="FFFFFF"/>
              </w:rPr>
              <w:t>投资主要分为实物投资和金融投资两大类，本课程将主要针对金融投资，系统性地从以下方面对投资学进行讲解：投资学的相关概念与基本理论，如资本市场、投资工具、资产定价理论等；私募股权投资的相关概念与流程；投资的主要分析方法，从基本面分析方法，具体包括宏观经济分析、产业分析、公司财务分析以及公司价值分析，再到技术分析方法；投资组合的管理，包括对风险资产的定价与证券组合管理的理论与应用；衍生工具投资的相关概念，包括期货期权投资的概念与交易组合；量化投资与互联网金融，具体包括量化分析、交易策略以及互联网背景下的投资方式。</w:t>
            </w:r>
          </w:p>
        </w:tc>
      </w:tr>
      <w:tr w14:paraId="175F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9" w:hRule="exact"/>
          <w:jc w:val="center"/>
        </w:trPr>
        <w:tc>
          <w:tcPr>
            <w:tcW w:w="704" w:type="dxa"/>
            <w:vAlign w:val="center"/>
          </w:tcPr>
          <w:p w14:paraId="46D7EAC9">
            <w:pPr>
              <w:widowControl/>
              <w:jc w:val="center"/>
              <w:rPr>
                <w:rFonts w:hint="eastAsia" w:eastAsia="黑体"/>
                <w:bCs/>
                <w:sz w:val="21"/>
                <w:szCs w:val="21"/>
              </w:rPr>
            </w:pPr>
            <w:r>
              <w:rPr>
                <w:rFonts w:hint="eastAsia" w:eastAsia="黑体"/>
                <w:bCs/>
                <w:sz w:val="21"/>
                <w:szCs w:val="21"/>
              </w:rPr>
              <w:t>4</w:t>
            </w:r>
          </w:p>
        </w:tc>
        <w:tc>
          <w:tcPr>
            <w:tcW w:w="2524" w:type="dxa"/>
            <w:vAlign w:val="center"/>
          </w:tcPr>
          <w:p w14:paraId="31E9A186">
            <w:pPr>
              <w:widowControl/>
              <w:jc w:val="center"/>
              <w:rPr>
                <w:rFonts w:hint="eastAsia" w:eastAsia="仿宋"/>
                <w:bCs/>
                <w:spacing w:val="20"/>
                <w:sz w:val="21"/>
                <w:szCs w:val="21"/>
                <w:lang w:val="en-US" w:eastAsia="zh-CN"/>
              </w:rPr>
            </w:pPr>
            <w:r>
              <w:rPr>
                <w:rFonts w:hint="eastAsia" w:eastAsia="仿宋"/>
                <w:bCs/>
                <w:spacing w:val="20"/>
                <w:sz w:val="21"/>
                <w:szCs w:val="21"/>
                <w:lang w:val="en-US" w:eastAsia="zh-CN"/>
              </w:rPr>
              <w:t>金融工程学-衍生工具</w:t>
            </w:r>
          </w:p>
          <w:p w14:paraId="64570EA3">
            <w:pPr>
              <w:widowControl/>
              <w:jc w:val="center"/>
              <w:rPr>
                <w:rFonts w:hint="eastAsia" w:eastAsia="黑体"/>
                <w:bCs/>
                <w:sz w:val="21"/>
                <w:szCs w:val="21"/>
              </w:rPr>
            </w:pPr>
            <w:r>
              <w:rPr>
                <w:rFonts w:hint="eastAsia" w:eastAsia="仿宋"/>
                <w:bCs/>
                <w:spacing w:val="20"/>
                <w:sz w:val="21"/>
                <w:szCs w:val="21"/>
              </w:rPr>
              <w:t>（</w:t>
            </w:r>
            <w:r>
              <w:rPr>
                <w:rFonts w:hint="eastAsia" w:eastAsia="仿宋"/>
                <w:bCs/>
                <w:spacing w:val="20"/>
                <w:sz w:val="21"/>
                <w:szCs w:val="21"/>
                <w:lang w:val="en-US" w:eastAsia="zh-CN"/>
              </w:rPr>
              <w:t>课程平台：大学慕课网</w:t>
            </w:r>
            <w:r>
              <w:rPr>
                <w:rFonts w:hint="eastAsia" w:eastAsia="仿宋"/>
                <w:bCs/>
                <w:spacing w:val="20"/>
                <w:sz w:val="21"/>
                <w:szCs w:val="21"/>
              </w:rPr>
              <w:t>https://www.icourse163.org/course/CUEB-1461019175）</w:t>
            </w:r>
          </w:p>
        </w:tc>
        <w:tc>
          <w:tcPr>
            <w:tcW w:w="5922" w:type="dxa"/>
            <w:tcBorders>
              <w:top w:val="single" w:color="auto" w:sz="4" w:space="0"/>
              <w:bottom w:val="single" w:color="auto" w:sz="4" w:space="0"/>
            </w:tcBorders>
            <w:vAlign w:val="center"/>
          </w:tcPr>
          <w:p w14:paraId="31669526">
            <w:pPr>
              <w:widowControl/>
              <w:jc w:val="left"/>
              <w:rPr>
                <w:rFonts w:eastAsia="仿宋"/>
                <w:bCs/>
                <w:sz w:val="21"/>
                <w:szCs w:val="21"/>
              </w:rPr>
            </w:pPr>
            <w:r>
              <w:rPr>
                <w:rFonts w:hint="eastAsia" w:eastAsia="仿宋"/>
                <w:bCs/>
                <w:sz w:val="21"/>
                <w:szCs w:val="21"/>
                <w:lang w:val="en-US" w:eastAsia="zh-CN"/>
              </w:rPr>
              <w:t>本课程主要讲授内容为</w:t>
            </w:r>
            <w:r>
              <w:rPr>
                <w:rFonts w:eastAsia="仿宋"/>
                <w:bCs/>
                <w:sz w:val="21"/>
                <w:szCs w:val="21"/>
              </w:rPr>
              <w:t>衍生工具的基本原理，学习各种衍生工具的概念、特征和相应的市场运作。同时了解衍生工具的定价方法（如无套利定价、风险中性定价等方法），及其现实应用。为学生将来从事金融领域的实务工作打下必备的理论基础，为进一步学习衍生工具定价和风险管理等高级课程提供必要的知识准备。</w:t>
            </w:r>
          </w:p>
          <w:p w14:paraId="18CE514D">
            <w:pPr>
              <w:widowControl/>
              <w:jc w:val="left"/>
              <w:rPr>
                <w:rFonts w:eastAsia="仿宋"/>
                <w:bCs/>
                <w:sz w:val="21"/>
                <w:szCs w:val="21"/>
              </w:rPr>
            </w:pPr>
          </w:p>
          <w:p w14:paraId="49A69998">
            <w:pPr>
              <w:widowControl/>
              <w:jc w:val="left"/>
              <w:rPr>
                <w:rFonts w:eastAsia="仿宋"/>
                <w:bCs/>
                <w:sz w:val="21"/>
                <w:szCs w:val="21"/>
              </w:rPr>
            </w:pPr>
          </w:p>
        </w:tc>
      </w:tr>
      <w:tr w14:paraId="349A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4" w:hRule="exact"/>
          <w:jc w:val="center"/>
        </w:trPr>
        <w:tc>
          <w:tcPr>
            <w:tcW w:w="704" w:type="dxa"/>
            <w:vAlign w:val="center"/>
          </w:tcPr>
          <w:p w14:paraId="3922C0B6">
            <w:pPr>
              <w:widowControl/>
              <w:jc w:val="center"/>
              <w:rPr>
                <w:rFonts w:hint="eastAsia" w:eastAsia="黑体"/>
                <w:bCs/>
                <w:sz w:val="21"/>
                <w:szCs w:val="21"/>
              </w:rPr>
            </w:pPr>
            <w:r>
              <w:rPr>
                <w:rFonts w:hint="eastAsia" w:eastAsia="黑体"/>
                <w:bCs/>
                <w:sz w:val="21"/>
                <w:szCs w:val="21"/>
              </w:rPr>
              <w:t>5</w:t>
            </w:r>
          </w:p>
        </w:tc>
        <w:tc>
          <w:tcPr>
            <w:tcW w:w="2524" w:type="dxa"/>
            <w:vAlign w:val="center"/>
          </w:tcPr>
          <w:p w14:paraId="20480082">
            <w:pPr>
              <w:widowControl/>
              <w:jc w:val="center"/>
              <w:rPr>
                <w:rFonts w:hint="eastAsia" w:eastAsia="仿宋"/>
                <w:bCs/>
                <w:spacing w:val="20"/>
                <w:sz w:val="21"/>
                <w:szCs w:val="21"/>
                <w:lang w:val="en-US" w:eastAsia="zh-CN"/>
              </w:rPr>
            </w:pPr>
            <w:r>
              <w:rPr>
                <w:rFonts w:hint="eastAsia" w:eastAsia="仿宋"/>
                <w:bCs/>
                <w:spacing w:val="20"/>
                <w:sz w:val="21"/>
                <w:szCs w:val="21"/>
                <w:lang w:val="en-US" w:eastAsia="zh-CN"/>
              </w:rPr>
              <w:t>公司金融</w:t>
            </w:r>
          </w:p>
          <w:p w14:paraId="0547D086">
            <w:pPr>
              <w:widowControl/>
              <w:jc w:val="center"/>
              <w:rPr>
                <w:rFonts w:hint="eastAsia" w:eastAsia="黑体"/>
                <w:bCs/>
                <w:sz w:val="21"/>
                <w:szCs w:val="21"/>
              </w:rPr>
            </w:pPr>
            <w:r>
              <w:rPr>
                <w:rFonts w:hint="eastAsia" w:eastAsia="仿宋"/>
                <w:bCs/>
                <w:spacing w:val="20"/>
                <w:sz w:val="21"/>
                <w:szCs w:val="21"/>
              </w:rPr>
              <w:t>（课程</w:t>
            </w:r>
            <w:r>
              <w:rPr>
                <w:rFonts w:hint="eastAsia" w:eastAsia="仿宋"/>
                <w:bCs/>
                <w:spacing w:val="20"/>
                <w:sz w:val="21"/>
                <w:szCs w:val="21"/>
                <w:lang w:val="en-US" w:eastAsia="zh-CN"/>
              </w:rPr>
              <w:t>平台</w:t>
            </w:r>
            <w:r>
              <w:rPr>
                <w:rFonts w:hint="eastAsia" w:eastAsia="仿宋"/>
                <w:bCs/>
                <w:spacing w:val="20"/>
                <w:sz w:val="21"/>
                <w:szCs w:val="21"/>
              </w:rPr>
              <w:t>：</w:t>
            </w:r>
            <w:r>
              <w:rPr>
                <w:rFonts w:hint="eastAsia" w:eastAsia="仿宋"/>
                <w:bCs/>
                <w:spacing w:val="20"/>
                <w:sz w:val="21"/>
                <w:szCs w:val="21"/>
                <w:lang w:val="en-US" w:eastAsia="zh-CN"/>
              </w:rPr>
              <w:t>智慧树</w:t>
            </w:r>
            <w:r>
              <w:rPr>
                <w:rFonts w:hint="eastAsia"/>
              </w:rPr>
              <w:t>https://portals.zhihuishu.com/cueb/shareCourse</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76D06AB4">
            <w:pPr>
              <w:widowControl/>
              <w:jc w:val="left"/>
              <w:rPr>
                <w:rFonts w:eastAsia="仿宋"/>
                <w:bCs/>
                <w:sz w:val="21"/>
                <w:szCs w:val="21"/>
              </w:rPr>
            </w:pPr>
            <w:r>
              <w:rPr>
                <w:rFonts w:hint="eastAsia" w:eastAsia="仿宋"/>
                <w:bCs/>
                <w:sz w:val="21"/>
                <w:szCs w:val="21"/>
              </w:rPr>
              <w:t>《公司金融》是一门以企业为核心，金融市场为平台，以公司金融活动作为研究对象的核心课程。该课程以价值管理和风险管理为主线，以各类金融工具为手段，以经济学、金融学、会计学理论为背景，涵盖公司生产经营和资本经营两个层次的金融活动，注重研究企业与金融系统之间的关系，重视从现金流的角度进行分析，综合运用各种形式的金融工具与方法，进行风险管理和价值创造，考察公司如何有效地利用各种融资渠道，获得最低成本的资金来源，形成合适的资本结构，并涉及到现代公司制度中的一些诸如委托—代理结构和公司治理等深层次的问题。培养学习者运用公司金融理论分析、解决公司金融实践问题的能力。</w:t>
            </w:r>
          </w:p>
        </w:tc>
      </w:tr>
      <w:tr w14:paraId="689E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7" w:hRule="exact"/>
          <w:jc w:val="center"/>
        </w:trPr>
        <w:tc>
          <w:tcPr>
            <w:tcW w:w="704" w:type="dxa"/>
            <w:vAlign w:val="center"/>
          </w:tcPr>
          <w:p w14:paraId="567C990B">
            <w:pPr>
              <w:widowControl/>
              <w:jc w:val="center"/>
              <w:rPr>
                <w:rFonts w:hint="eastAsia" w:eastAsia="黑体"/>
                <w:bCs/>
                <w:sz w:val="21"/>
                <w:szCs w:val="21"/>
              </w:rPr>
            </w:pPr>
            <w:r>
              <w:rPr>
                <w:rFonts w:hint="eastAsia" w:eastAsia="黑体"/>
                <w:bCs/>
                <w:sz w:val="21"/>
                <w:szCs w:val="21"/>
              </w:rPr>
              <w:t>6</w:t>
            </w:r>
          </w:p>
        </w:tc>
        <w:tc>
          <w:tcPr>
            <w:tcW w:w="2524" w:type="dxa"/>
            <w:vAlign w:val="center"/>
          </w:tcPr>
          <w:p w14:paraId="0066F15F">
            <w:pPr>
              <w:widowControl/>
              <w:jc w:val="center"/>
              <w:rPr>
                <w:rFonts w:hint="eastAsia" w:eastAsia="仿宋"/>
                <w:bCs/>
                <w:spacing w:val="20"/>
                <w:sz w:val="21"/>
                <w:szCs w:val="21"/>
                <w:lang w:val="en-US" w:eastAsia="zh-CN"/>
              </w:rPr>
            </w:pPr>
            <w:r>
              <w:rPr>
                <w:rFonts w:hint="eastAsia" w:eastAsia="仿宋"/>
                <w:bCs/>
                <w:spacing w:val="20"/>
                <w:sz w:val="21"/>
                <w:szCs w:val="21"/>
                <w:lang w:val="en-US" w:eastAsia="zh-CN"/>
              </w:rPr>
              <w:t>固定收益证券</w:t>
            </w:r>
          </w:p>
          <w:p w14:paraId="0508100B">
            <w:pPr>
              <w:widowControl/>
              <w:jc w:val="center"/>
              <w:rPr>
                <w:rFonts w:hint="eastAsia" w:eastAsia="黑体"/>
                <w:bCs/>
                <w:sz w:val="21"/>
                <w:szCs w:val="21"/>
              </w:rPr>
            </w:pPr>
            <w:r>
              <w:rPr>
                <w:rFonts w:hint="eastAsia" w:eastAsia="仿宋"/>
                <w:bCs/>
                <w:spacing w:val="20"/>
                <w:sz w:val="21"/>
                <w:szCs w:val="21"/>
              </w:rPr>
              <w:t>（</w:t>
            </w:r>
            <w:r>
              <w:rPr>
                <w:rFonts w:hint="eastAsia" w:eastAsia="仿宋"/>
                <w:bCs/>
                <w:spacing w:val="20"/>
                <w:sz w:val="21"/>
                <w:szCs w:val="21"/>
                <w:lang w:val="en-US" w:eastAsia="zh-CN"/>
              </w:rPr>
              <w:t>课程平台</w:t>
            </w:r>
            <w:r>
              <w:rPr>
                <w:rFonts w:hint="eastAsia" w:eastAsia="仿宋"/>
                <w:bCs/>
                <w:spacing w:val="20"/>
                <w:sz w:val="21"/>
                <w:szCs w:val="21"/>
              </w:rPr>
              <w:t>：</w:t>
            </w:r>
            <w:r>
              <w:rPr>
                <w:rFonts w:hint="eastAsia" w:eastAsia="仿宋"/>
                <w:bCs/>
                <w:spacing w:val="20"/>
                <w:sz w:val="21"/>
                <w:szCs w:val="21"/>
                <w:lang w:val="en-US" w:eastAsia="zh-CN"/>
              </w:rPr>
              <w:t>学银在线http://www.xueyinonline.com/detail/214990883</w:t>
            </w:r>
            <w:r>
              <w:rPr>
                <w:rFonts w:hint="eastAsia" w:eastAsia="仿宋"/>
                <w:bCs/>
                <w:spacing w:val="20"/>
                <w:sz w:val="21"/>
                <w:szCs w:val="21"/>
              </w:rPr>
              <w:t>）</w:t>
            </w:r>
          </w:p>
        </w:tc>
        <w:tc>
          <w:tcPr>
            <w:tcW w:w="5922" w:type="dxa"/>
            <w:tcBorders>
              <w:top w:val="single" w:color="auto" w:sz="4" w:space="0"/>
              <w:bottom w:val="single" w:color="auto" w:sz="4" w:space="0"/>
            </w:tcBorders>
            <w:vAlign w:val="center"/>
          </w:tcPr>
          <w:p w14:paraId="215C2FB1">
            <w:pPr>
              <w:widowControl/>
              <w:jc w:val="left"/>
              <w:rPr>
                <w:rFonts w:eastAsia="仿宋"/>
                <w:bCs/>
                <w:sz w:val="21"/>
                <w:szCs w:val="21"/>
              </w:rPr>
            </w:pPr>
            <w:r>
              <w:rPr>
                <w:rFonts w:hint="eastAsia" w:eastAsia="仿宋"/>
                <w:bCs/>
                <w:sz w:val="21"/>
                <w:szCs w:val="21"/>
              </w:rPr>
              <w:t>本课程内容的设定以固定收益证券的基本概念、基础知识和基本实务为主线，旨在使学生了解固定收益证券这一金融市场最重要的基础性金融工具的概念、范畴、基本理论、基本功能和作用，基本的市场运作规范和交易制度与交易技术。通过本课程的学习，学习者有望掌握固定收益证券的基本风险收益特征、投资策略、风险控制和对冲方法等。</w:t>
            </w:r>
          </w:p>
        </w:tc>
      </w:tr>
    </w:tbl>
    <w:p w14:paraId="2F1CB1E2"/>
    <w:sectPr>
      <w:footerReference r:id="rId3" w:type="default"/>
      <w:pgSz w:w="11906" w:h="16838"/>
      <w:pgMar w:top="1134" w:right="1418" w:bottom="1134" w:left="1418" w:header="851" w:footer="45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8258819"/>
      <w:docPartObj>
        <w:docPartGallery w:val="autotext"/>
      </w:docPartObj>
    </w:sdtPr>
    <w:sdtContent>
      <w:p w14:paraId="52A3D92A">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D2F91"/>
    <w:multiLevelType w:val="singleLevel"/>
    <w:tmpl w:val="B2DD2F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5MmIxMDA0NmUxMTI3OTI0ODcyOTk2MmYwM2I1NGIifQ=="/>
  </w:docVars>
  <w:rsids>
    <w:rsidRoot w:val="0AE32D0C"/>
    <w:rsid w:val="00034A2A"/>
    <w:rsid w:val="000703B8"/>
    <w:rsid w:val="00295603"/>
    <w:rsid w:val="002C645C"/>
    <w:rsid w:val="002D1061"/>
    <w:rsid w:val="00344813"/>
    <w:rsid w:val="00372B72"/>
    <w:rsid w:val="003B3ECE"/>
    <w:rsid w:val="00455246"/>
    <w:rsid w:val="00472599"/>
    <w:rsid w:val="004B5A3E"/>
    <w:rsid w:val="004C268A"/>
    <w:rsid w:val="005056F3"/>
    <w:rsid w:val="005A41A7"/>
    <w:rsid w:val="006157F6"/>
    <w:rsid w:val="00687051"/>
    <w:rsid w:val="009C32BB"/>
    <w:rsid w:val="00A80D14"/>
    <w:rsid w:val="00AB34E9"/>
    <w:rsid w:val="00B64FD1"/>
    <w:rsid w:val="00B837E0"/>
    <w:rsid w:val="00BF191D"/>
    <w:rsid w:val="00C6040F"/>
    <w:rsid w:val="00C80AE2"/>
    <w:rsid w:val="00C97A7A"/>
    <w:rsid w:val="00D10134"/>
    <w:rsid w:val="00D158C6"/>
    <w:rsid w:val="00D47AF8"/>
    <w:rsid w:val="00D529C8"/>
    <w:rsid w:val="00D617A2"/>
    <w:rsid w:val="00D7253D"/>
    <w:rsid w:val="00DF6BE9"/>
    <w:rsid w:val="00E05A85"/>
    <w:rsid w:val="00E746CB"/>
    <w:rsid w:val="00E96E12"/>
    <w:rsid w:val="00EA1D74"/>
    <w:rsid w:val="00F16F11"/>
    <w:rsid w:val="02641DFB"/>
    <w:rsid w:val="0AE32D0C"/>
    <w:rsid w:val="1165300E"/>
    <w:rsid w:val="175A6EDF"/>
    <w:rsid w:val="1EEF22CE"/>
    <w:rsid w:val="21BF3E1B"/>
    <w:rsid w:val="3D7106DB"/>
    <w:rsid w:val="45C91DCE"/>
    <w:rsid w:val="46E13E64"/>
    <w:rsid w:val="496038EF"/>
    <w:rsid w:val="4C451C28"/>
    <w:rsid w:val="5C2667BC"/>
    <w:rsid w:val="60E0197E"/>
    <w:rsid w:val="6221580D"/>
    <w:rsid w:val="64844FF7"/>
    <w:rsid w:val="649F2FD7"/>
    <w:rsid w:val="687B4BF8"/>
    <w:rsid w:val="7D8C1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360" w:lineRule="auto"/>
      <w:ind w:firstLine="480" w:firstLineChars="200"/>
    </w:pPr>
    <w:rPr>
      <w:rFonts w:ascii="Arial" w:hAnsi="宋体" w:cs="Arial"/>
      <w:kern w:val="2"/>
      <w:sz w:val="24"/>
      <w:szCs w:val="21"/>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styleId="11">
    <w:name w:val="List Paragraph"/>
    <w:basedOn w:val="1"/>
    <w:unhideWhenUsed/>
    <w:qFormat/>
    <w:uiPriority w:val="99"/>
    <w:pPr>
      <w:ind w:firstLine="420" w:firstLineChars="200"/>
    </w:pPr>
  </w:style>
  <w:style w:type="character" w:customStyle="1" w:styleId="12">
    <w:name w:val="页眉 字符"/>
    <w:basedOn w:val="8"/>
    <w:link w:val="4"/>
    <w:qFormat/>
    <w:uiPriority w:val="0"/>
    <w:rPr>
      <w:rFonts w:ascii="Times New Roman" w:hAnsi="Times New Roman" w:eastAsia="宋体" w:cs="Times New Roman"/>
      <w:sz w:val="18"/>
      <w:szCs w:val="18"/>
    </w:rPr>
  </w:style>
  <w:style w:type="character" w:customStyle="1" w:styleId="13">
    <w:name w:val="页脚 字符"/>
    <w:basedOn w:val="8"/>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2030</Words>
  <Characters>2348</Characters>
  <Lines>147</Lines>
  <Paragraphs>157</Paragraphs>
  <TotalTime>10</TotalTime>
  <ScaleCrop>false</ScaleCrop>
  <LinksUpToDate>false</LinksUpToDate>
  <CharactersWithSpaces>2352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2026-07-06T07:45:00Z</dcterms:created>
  <dc:creator>Shine_ZHOU</dc:creator>
  <cp:lastModifiedBy>218102</cp:lastModifiedBy>
  <dcterms:modified xsi:type="dcterms:W3CDTF">2026-07-14T04:57:18Z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0E364E20D91D46258F32B49DEC1D8EAE_13</vt:lpwstr>
  </property>
  <property fmtid="{D5CDD505-2E9C-101B-9397-08002B2CF9AE}" pid="4" name="KSOTemplateDocerSaveRecord">
    <vt:lpwstr>eyJoZGlkIjoiZmRjMmY1ZDZhNmY0YWZiZDE0OTEwMzg5ODk5M2RiOTUifQ==</vt:lpwstr>
  </property>
</Properties>
</file>