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53"/>
        <w:gridCol w:w="4000"/>
        <w:gridCol w:w="1550"/>
        <w:gridCol w:w="3134"/>
        <w:gridCol w:w="1698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theme="minorEastAsia"/>
                <w:b/>
                <w:bCs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auto"/>
                <w:sz w:val="36"/>
                <w:szCs w:val="36"/>
                <w:lang w:eastAsia="zh-Hans"/>
              </w:rPr>
              <w:t>首都经济贸易大学试卷抽查评价表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7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试卷归属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教学单位</w:t>
            </w:r>
          </w:p>
        </w:tc>
        <w:tc>
          <w:tcPr>
            <w:tcW w:w="123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80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专业班级</w:t>
            </w:r>
          </w:p>
        </w:tc>
        <w:tc>
          <w:tcPr>
            <w:tcW w:w="971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526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试卷份数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任课教师</w:t>
            </w:r>
          </w:p>
        </w:tc>
        <w:tc>
          <w:tcPr>
            <w:tcW w:w="123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80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考核形式</w:t>
            </w:r>
          </w:p>
        </w:tc>
        <w:tc>
          <w:tcPr>
            <w:tcW w:w="971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开卷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论文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其他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sym w:font="Wingdings 2" w:char="00A3"/>
            </w: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闭卷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上机考试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sym w:font="Wingdings 2" w:char="00A3"/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试卷平均分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课程名称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课号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）</w:t>
            </w:r>
          </w:p>
        </w:tc>
        <w:tc>
          <w:tcPr>
            <w:tcW w:w="123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526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试卷及格率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</w:tbl>
    <w:p>
      <w:pPr>
        <w:spacing w:line="20" w:lineRule="exact"/>
        <w:ind w:firstLine="560"/>
        <w:rPr>
          <w:color w:val="auto"/>
        </w:rPr>
      </w:pPr>
    </w:p>
    <w:tbl>
      <w:tblPr>
        <w:tblStyle w:val="1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06"/>
        <w:gridCol w:w="4010"/>
        <w:gridCol w:w="2535"/>
        <w:gridCol w:w="1045"/>
        <w:gridCol w:w="3681"/>
        <w:gridCol w:w="1869"/>
        <w:gridCol w:w="868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tblHeader/>
          <w:jc w:val="center"/>
        </w:trPr>
        <w:tc>
          <w:tcPr>
            <w:tcW w:w="235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检查项目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序号</w:t>
            </w:r>
          </w:p>
        </w:tc>
        <w:tc>
          <w:tcPr>
            <w:tcW w:w="4070" w:type="pct"/>
            <w:gridSpan w:val="5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检查内容、评价细则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小项得分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大项得分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试卷档案(20)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归档材料齐全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成绩登记表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学生原始考卷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试卷分析报告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空白试卷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参考答案及评分标准(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7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五项齐全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欠整齐或签名(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/>
              </w:rPr>
              <w:t>成绩登记表</w:t>
            </w:r>
            <w:r>
              <w:rPr>
                <w:rFonts w:ascii="宋体" w:hAnsi="宋体" w:eastAsia="宋体" w:cstheme="minorEastAsia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/>
              </w:rPr>
              <w:t>学生原始考卷</w:t>
            </w:r>
            <w:r>
              <w:rPr>
                <w:rFonts w:ascii="宋体" w:hAnsi="宋体" w:eastAsia="宋体" w:cstheme="minorEastAsia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/>
              </w:rPr>
              <w:t>试卷分析报告</w:t>
            </w:r>
            <w:r>
              <w:rPr>
                <w:rFonts w:ascii="宋体" w:hAnsi="宋体" w:eastAsia="宋体" w:cstheme="minorEastAsia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/>
              </w:rPr>
              <w:t>空白试卷</w:t>
            </w:r>
            <w:r>
              <w:rPr>
                <w:rFonts w:ascii="宋体" w:hAnsi="宋体" w:eastAsia="宋体" w:cstheme="minorEastAsia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/>
              </w:rPr>
              <w:t>参考答案及评分标准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，缺一项(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*2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试卷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答题纸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答题卡数量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齐全(5)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缺少1份试卷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答题纸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答题卡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*3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试卷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答题纸、答题卡按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学号由小至大或按成绩登记表顺序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装订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成册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有试卷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答题纸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答题卡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未排序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或未装订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有试卷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答题纸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答题卡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未排序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且未装订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4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</w:rPr>
              <w:t>试卷格式标准</w:t>
            </w:r>
            <w:r>
              <w:rPr>
                <w:rFonts w:ascii="宋体" w:hAnsi="宋体" w:eastAsia="宋体"/>
                <w:color w:val="auto"/>
              </w:rPr>
              <w:t>：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符合教务处试卷模版中的要求</w:t>
            </w:r>
            <w:r>
              <w:rPr>
                <w:rFonts w:ascii="宋体" w:hAnsi="宋体" w:eastAsia="宋体"/>
                <w:color w:val="auto"/>
                <w:lang w:eastAsia="zh-Hans"/>
              </w:rPr>
              <w:t>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</w:p>
        </w:tc>
        <w:tc>
          <w:tcPr>
            <w:tcW w:w="1140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不符合教务处试卷模版要求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sz w:val="24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bidi="ar"/>
              </w:rPr>
              <w:t>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命题质量(35)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*5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试题无错误(5)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试题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有少量错误且不影响答题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试题有错误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且已影响答题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或试卷上印有答案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*6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命题规范：试题文字、符号、图表、题目分数标示清晰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正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确(3)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试题文字、符号、图表、题目分数标示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1-2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处错误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但不影响答题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(1)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试题文字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符号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等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错误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有3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处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及以上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或错误已影响答题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7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试题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形式</w:t>
            </w:r>
            <w:r>
              <w:rPr>
                <w:rFonts w:hint="eastAsia" w:ascii="宋体" w:hAnsi="宋体" w:eastAsia="宋体"/>
                <w:color w:val="auto"/>
              </w:rPr>
              <w:t>符合考试形式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要求</w:t>
            </w:r>
            <w:r>
              <w:rPr>
                <w:rFonts w:ascii="宋体" w:hAnsi="宋体" w:eastAsia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且形式多样</w:t>
            </w:r>
            <w:r>
              <w:rPr>
                <w:rFonts w:ascii="宋体" w:hAnsi="宋体" w:eastAsia="宋体"/>
                <w:color w:val="auto"/>
              </w:rPr>
              <w:t>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试题形式符合考试形式要求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但形式较为单一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(2)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</w:rPr>
              <w:t>试题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形式和</w:t>
            </w:r>
            <w:r>
              <w:rPr>
                <w:rFonts w:hint="eastAsia" w:ascii="宋体" w:hAnsi="宋体" w:eastAsia="宋体"/>
                <w:color w:val="auto"/>
              </w:rPr>
              <w:t>考试形式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不符</w:t>
            </w:r>
            <w:r>
              <w:rPr>
                <w:rFonts w:ascii="宋体" w:hAnsi="宋体" w:eastAsia="宋体"/>
                <w:color w:val="auto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例如</w:t>
            </w:r>
            <w:r>
              <w:rPr>
                <w:rFonts w:ascii="宋体" w:hAnsi="宋体" w:eastAsia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开卷考试全部为选择填空题</w:t>
            </w:r>
            <w:r>
              <w:rPr>
                <w:rFonts w:ascii="宋体" w:hAnsi="宋体" w:eastAsia="宋体"/>
                <w:color w:val="auto"/>
                <w:lang w:eastAsia="zh-Hans"/>
              </w:rPr>
              <w:t>）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*8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/>
                <w:color w:val="auto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lang w:eastAsia="zh-Hans"/>
              </w:rPr>
              <w:t>试题内容</w:t>
            </w:r>
            <w:r>
              <w:rPr>
                <w:rFonts w:hint="eastAsia" w:ascii="宋体" w:hAnsi="宋体" w:eastAsia="宋体"/>
                <w:color w:val="auto"/>
              </w:rPr>
              <w:t>符合教学大纲要求</w:t>
            </w:r>
            <w:r>
              <w:rPr>
                <w:rFonts w:ascii="宋体" w:hAnsi="宋体" w:eastAsia="宋体"/>
                <w:color w:val="auto"/>
              </w:rPr>
              <w:t>，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且</w:t>
            </w:r>
            <w:r>
              <w:rPr>
                <w:rFonts w:hint="eastAsia" w:ascii="宋体" w:hAnsi="宋体" w:eastAsia="宋体"/>
                <w:color w:val="auto"/>
              </w:rPr>
              <w:t>覆盖面全</w:t>
            </w:r>
            <w:r>
              <w:rPr>
                <w:rFonts w:ascii="宋体" w:hAnsi="宋体" w:eastAsia="宋体"/>
                <w:color w:val="auto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试题内容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符合教学大纲要求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但覆盖面不全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试题内容不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符合教学大纲要求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或无教学大纲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*9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试题数量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、难易度符合质量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评价要求：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（区间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供参考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：60≤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平均分≤80）(5)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80&lt;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&lt;9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</w:t>
            </w:r>
          </w:p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40&lt;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&lt;60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 xml:space="preserve"> 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≥9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或</w:t>
            </w:r>
          </w:p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≤40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 xml:space="preserve"> 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*10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试题结构合理</w:t>
            </w:r>
            <w:r>
              <w:rPr>
                <w:rFonts w:ascii="宋体" w:hAnsi="宋体" w:eastAsia="宋体"/>
                <w:color w:val="auto"/>
              </w:rPr>
              <w:t>：</w:t>
            </w:r>
          </w:p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基础题：综合题：提高题=6</w:t>
            </w:r>
            <w:r>
              <w:rPr>
                <w:rFonts w:ascii="宋体" w:hAnsi="宋体" w:eastAsia="宋体"/>
                <w:color w:val="auto"/>
              </w:rPr>
              <w:t>:</w:t>
            </w:r>
            <w:r>
              <w:rPr>
                <w:rFonts w:hint="eastAsia" w:ascii="宋体" w:hAnsi="宋体" w:eastAsia="宋体"/>
                <w:color w:val="auto"/>
              </w:rPr>
              <w:t>3</w:t>
            </w:r>
            <w:r>
              <w:rPr>
                <w:rFonts w:ascii="宋体" w:hAnsi="宋体" w:eastAsia="宋体"/>
                <w:color w:val="auto"/>
              </w:rPr>
              <w:t>:</w:t>
            </w:r>
            <w:r>
              <w:rPr>
                <w:rFonts w:hint="eastAsia" w:ascii="宋体" w:hAnsi="宋体" w:eastAsia="宋体"/>
                <w:color w:val="auto"/>
              </w:rPr>
              <w:t>1</w:t>
            </w:r>
            <w:r>
              <w:rPr>
                <w:rFonts w:ascii="宋体" w:hAnsi="宋体" w:eastAsia="宋体"/>
                <w:color w:val="auto"/>
              </w:rPr>
              <w:t xml:space="preserve"> 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</w:rPr>
              <w:t>基础题：综合题：提高题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基本符合</w:t>
            </w:r>
            <w:r>
              <w:rPr>
                <w:rFonts w:ascii="宋体" w:hAnsi="宋体" w:eastAsia="宋体"/>
                <w:color w:val="auto"/>
                <w:lang w:eastAsia="zh-Hans"/>
              </w:rPr>
              <w:t>6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:</w:t>
            </w:r>
            <w:r>
              <w:rPr>
                <w:rFonts w:ascii="宋体" w:hAnsi="宋体" w:eastAsia="宋体"/>
                <w:color w:val="auto"/>
                <w:lang w:eastAsia="zh-Hans"/>
              </w:rPr>
              <w:t>3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:</w:t>
            </w:r>
            <w:r>
              <w:rPr>
                <w:rFonts w:ascii="宋体" w:hAnsi="宋体" w:eastAsia="宋体"/>
                <w:color w:val="auto"/>
                <w:lang w:eastAsia="zh-Hans"/>
              </w:rPr>
              <w:t>1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的比例</w:t>
            </w:r>
            <w:r>
              <w:rPr>
                <w:rFonts w:ascii="宋体" w:hAnsi="宋体" w:eastAsia="宋体"/>
                <w:color w:val="auto"/>
                <w:lang w:eastAsia="zh-Hans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</w:rPr>
              <w:t>基础题：综合题：提高题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严重不符合</w:t>
            </w:r>
            <w:r>
              <w:rPr>
                <w:rFonts w:ascii="宋体" w:hAnsi="宋体" w:eastAsia="宋体"/>
                <w:color w:val="auto"/>
                <w:lang w:eastAsia="zh-Hans"/>
              </w:rPr>
              <w:t>6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:</w:t>
            </w:r>
            <w:r>
              <w:rPr>
                <w:rFonts w:ascii="宋体" w:hAnsi="宋体" w:eastAsia="宋体"/>
                <w:color w:val="auto"/>
                <w:lang w:eastAsia="zh-Hans"/>
              </w:rPr>
              <w:t>3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:</w:t>
            </w:r>
            <w:r>
              <w:rPr>
                <w:rFonts w:ascii="宋体" w:hAnsi="宋体" w:eastAsia="宋体"/>
                <w:color w:val="auto"/>
                <w:lang w:eastAsia="zh-Hans"/>
              </w:rPr>
              <w:t>1</w:t>
            </w:r>
            <w:r>
              <w:rPr>
                <w:rFonts w:hint="eastAsia" w:ascii="宋体" w:hAnsi="宋体" w:eastAsia="宋体"/>
                <w:color w:val="auto"/>
                <w:lang w:eastAsia="zh-Hans"/>
              </w:rPr>
              <w:t>的比例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*11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近3年试题重复率</w:t>
            </w:r>
            <w:r>
              <w:rPr>
                <w:rFonts w:ascii="宋体" w:hAnsi="宋体" w:eastAsia="宋体" w:cs="Arial"/>
                <w:color w:val="auto"/>
              </w:rPr>
              <w:t>≤</w:t>
            </w:r>
            <w:r>
              <w:rPr>
                <w:rFonts w:ascii="宋体" w:hAnsi="宋体" w:eastAsia="宋体"/>
                <w:color w:val="auto"/>
              </w:rPr>
              <w:t>10% 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</w:rPr>
              <w:t>近3年试题重复率</w:t>
            </w:r>
            <w:r>
              <w:rPr>
                <w:rFonts w:ascii="宋体" w:hAnsi="宋体" w:eastAsia="宋体"/>
                <w:color w:val="auto"/>
              </w:rPr>
              <w:t>&gt;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1</w:t>
            </w:r>
            <w:r>
              <w:rPr>
                <w:rFonts w:ascii="宋体" w:hAnsi="宋体" w:eastAsia="宋体"/>
                <w:color w:val="auto"/>
              </w:rPr>
              <w:t xml:space="preserve">0% 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12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评分标准给分点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清楚合理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大题明确标明分步给分点(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给分点清楚合理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但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计算题、问答题等大题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无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分步给分点(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给分点不清楚不合理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大题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无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分步给分点(0)</w:t>
            </w:r>
          </w:p>
        </w:tc>
        <w:tc>
          <w:tcPr>
            <w:tcW w:w="579" w:type="pct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13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参考答案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全面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正确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参考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答案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不正确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试卷评阅(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3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5)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14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按照参考答案和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评分标准进行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评阅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无错判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漏判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给扣分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错误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12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一袋试卷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中有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1-2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份出现错判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漏判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给扣分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有误的试卷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6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一袋试卷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中有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3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份及以上出现错判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漏判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给扣分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有误的试卷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15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评阅大题时分步给分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（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若试卷为论文形式，撰写详细的评阅意见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）(3)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大题未分步给分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（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论文形式试卷评阅意见较简略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）(1)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论文形式试卷只有分数无评阅意见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*16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阅卷教师分工合作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流水阅卷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试卷中的部分题目流水阅卷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未流水阅卷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1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7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加、登分正确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且有阅卷人签字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7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出现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加、登分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错误</w:t>
            </w:r>
            <w:r>
              <w:rPr>
                <w:rFonts w:ascii="宋体" w:hAnsi="宋体" w:eastAsia="宋体" w:cs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或无阅卷人签字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出现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加、登分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错误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且无阅卷人签字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1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8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批阅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规范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用红笔批阅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计分方式统一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（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例如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加分统一写在题号左侧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减分写在右侧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）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未用红笔批阅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或计分方式不统一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未用红笔批阅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且计分方式不统一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19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批阅整洁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无涂改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有涂改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涂改处有教师签字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(2)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有涂改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涂改处无教师签字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试卷分析报告(10)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*20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综合成绩能客观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真实地反映学生对该课程的掌握程度和学习情况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综合成绩基本反映学生对该课程的掌握程度和学习情况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综合成绩无法反映学生对该课程的掌握程度和学习情况</w:t>
            </w:r>
            <w:r>
              <w:rPr>
                <w:rFonts w:ascii="宋体" w:hAnsi="宋体" w:eastAsia="宋体" w:cstheme="minorEastAsia"/>
                <w:color w:val="auto"/>
                <w:lang w:eastAsia="zh-Hans"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  <w:t>21</w:t>
            </w:r>
          </w:p>
        </w:tc>
        <w:tc>
          <w:tcPr>
            <w:tcW w:w="1242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撰写内容全面，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改进建议具有建设性和可操作性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撰写内容</w:t>
            </w: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简略或无有效建议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(2)</w:t>
            </w:r>
          </w:p>
        </w:tc>
        <w:tc>
          <w:tcPr>
            <w:tcW w:w="1140" w:type="pct"/>
            <w:vAlign w:val="center"/>
          </w:tcPr>
          <w:p>
            <w:pPr>
              <w:pStyle w:val="11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无试卷分析报告</w:t>
            </w:r>
            <w:r>
              <w:rPr>
                <w:rFonts w:hint="eastAsia" w:ascii="宋体" w:hAnsi="宋体" w:eastAsia="宋体" w:cstheme="minorEastAsia"/>
                <w:color w:val="auto"/>
                <w:lang w:bidi="ar"/>
              </w:rPr>
              <w:t>(0)</w:t>
            </w:r>
          </w:p>
        </w:tc>
        <w:tc>
          <w:tcPr>
            <w:tcW w:w="579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/>
              </w:rPr>
              <w:t>说明：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4762" w:type="pct"/>
            <w:gridSpan w:val="8"/>
            <w:vAlign w:val="center"/>
          </w:tcPr>
          <w:p>
            <w:pPr>
              <w:pStyle w:val="11"/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color w:val="auto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lang w:eastAsia="zh-Hans" w:bidi="ar"/>
              </w:rPr>
              <w:t>总分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8" w:hRule="atLeast"/>
          <w:jc w:val="center"/>
        </w:trPr>
        <w:tc>
          <w:tcPr>
            <w:tcW w:w="5000" w:type="pct"/>
            <w:gridSpan w:val="9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 w:bidi="ar"/>
              </w:rPr>
              <w:t>检查意见或建议</w:t>
            </w:r>
            <w:r>
              <w:rPr>
                <w:rFonts w:ascii="宋体" w:hAnsi="宋体" w:eastAsia="宋体" w:cstheme="minorEastAsia"/>
                <w:color w:val="auto"/>
                <w:sz w:val="24"/>
                <w:lang w:eastAsia="zh-Hans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2485" w:type="pct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 w:bidi="ar"/>
              </w:rPr>
              <w:t>检查督导：</w:t>
            </w:r>
          </w:p>
        </w:tc>
        <w:tc>
          <w:tcPr>
            <w:tcW w:w="2515" w:type="pct"/>
            <w:gridSpan w:val="5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color w:val="auto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color w:val="auto"/>
                <w:sz w:val="24"/>
                <w:lang w:eastAsia="zh-Hans" w:bidi="ar"/>
              </w:rPr>
              <w:t>检查日期：</w:t>
            </w:r>
          </w:p>
        </w:tc>
      </w:tr>
    </w:tbl>
    <w:p>
      <w:pPr>
        <w:spacing w:line="340" w:lineRule="exact"/>
        <w:ind w:firstLine="0" w:firstLineChars="0"/>
        <w:rPr>
          <w:rFonts w:ascii="宋体" w:hAnsi="宋体" w:eastAsia="宋体"/>
          <w:color w:val="auto"/>
          <w:sz w:val="24"/>
          <w:szCs w:val="22"/>
          <w:lang w:eastAsia="zh-Hans"/>
        </w:rPr>
      </w:pP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注：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 xml:space="preserve">1. 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试卷分析报告统计试卷成绩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，</w:t>
      </w:r>
      <w:r>
        <w:rPr>
          <w:rFonts w:hint="eastAsia" w:ascii="宋体" w:hAnsi="宋体" w:eastAsia="宋体" w:cstheme="minorEastAsia"/>
          <w:color w:val="auto"/>
          <w:sz w:val="24"/>
          <w:lang w:eastAsia="zh-Hans"/>
        </w:rPr>
        <w:t>成绩登记表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统计总评成绩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，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计算试卷平均分和及格率时应使用试卷分析报告中的数据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；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涉及数值计算时请四舍五入保留两位小数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 xml:space="preserve">。2. 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评价依据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（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如扣分原因等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）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或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督导认为该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评价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标准有待商榷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，请在说明栏详细明确写出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；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若说明栏空间不够可另加附页。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3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.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序号前标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*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的检查内容为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《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首都经济贸易大学本科生考试管理规定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》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中有明确要求或属于试卷管理基本要求的内容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，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为重点检查评价项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。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 xml:space="preserve">4. 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个别评价标准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由督导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根据</w:t>
      </w:r>
      <w:r>
        <w:rPr>
          <w:rFonts w:ascii="宋体" w:hAnsi="宋体" w:eastAsia="宋体"/>
          <w:color w:val="auto"/>
          <w:sz w:val="24"/>
          <w:szCs w:val="22"/>
          <w:lang w:eastAsia="zh-Hans"/>
        </w:rPr>
        <w:t>各院实际情况自行掌握</w:t>
      </w:r>
      <w:r>
        <w:rPr>
          <w:rFonts w:hint="eastAsia" w:ascii="宋体" w:hAnsi="宋体" w:eastAsia="宋体"/>
          <w:color w:val="auto"/>
          <w:sz w:val="24"/>
          <w:szCs w:val="22"/>
          <w:lang w:eastAsia="zh-Hans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340" w:right="454" w:bottom="340" w:left="454" w:header="57" w:footer="57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383359"/>
    <w:rsid w:val="000A7136"/>
    <w:rsid w:val="000B0C46"/>
    <w:rsid w:val="00207B72"/>
    <w:rsid w:val="00251CFF"/>
    <w:rsid w:val="00335299"/>
    <w:rsid w:val="003D213E"/>
    <w:rsid w:val="004D6B4F"/>
    <w:rsid w:val="0054690B"/>
    <w:rsid w:val="005675E8"/>
    <w:rsid w:val="005D090A"/>
    <w:rsid w:val="006429C9"/>
    <w:rsid w:val="006C419A"/>
    <w:rsid w:val="006E5014"/>
    <w:rsid w:val="00762D51"/>
    <w:rsid w:val="00796902"/>
    <w:rsid w:val="00850A9C"/>
    <w:rsid w:val="008F6EA8"/>
    <w:rsid w:val="00934F16"/>
    <w:rsid w:val="009527A5"/>
    <w:rsid w:val="0095450A"/>
    <w:rsid w:val="009B20ED"/>
    <w:rsid w:val="00C02729"/>
    <w:rsid w:val="00C07E27"/>
    <w:rsid w:val="00CE1572"/>
    <w:rsid w:val="00D264CF"/>
    <w:rsid w:val="00D453E2"/>
    <w:rsid w:val="00D91A7F"/>
    <w:rsid w:val="00EC2E9E"/>
    <w:rsid w:val="00EF74DA"/>
    <w:rsid w:val="00F1170A"/>
    <w:rsid w:val="00FF48E9"/>
    <w:rsid w:val="07F7F713"/>
    <w:rsid w:val="0E459385"/>
    <w:rsid w:val="14ABFE38"/>
    <w:rsid w:val="17EDE371"/>
    <w:rsid w:val="1FE10B3A"/>
    <w:rsid w:val="1FEFF713"/>
    <w:rsid w:val="27BBA4BB"/>
    <w:rsid w:val="27FDD6C9"/>
    <w:rsid w:val="29383359"/>
    <w:rsid w:val="2B7F1A62"/>
    <w:rsid w:val="2DFB5428"/>
    <w:rsid w:val="2E17233B"/>
    <w:rsid w:val="2FEF36C2"/>
    <w:rsid w:val="2FFDE032"/>
    <w:rsid w:val="3373951F"/>
    <w:rsid w:val="373BB2F9"/>
    <w:rsid w:val="373E0BDE"/>
    <w:rsid w:val="37E98974"/>
    <w:rsid w:val="37EF0C5F"/>
    <w:rsid w:val="37F50817"/>
    <w:rsid w:val="3A556C26"/>
    <w:rsid w:val="3ABA859D"/>
    <w:rsid w:val="3BB90699"/>
    <w:rsid w:val="3BB97623"/>
    <w:rsid w:val="3BEF03B4"/>
    <w:rsid w:val="3D77BF63"/>
    <w:rsid w:val="3DEFC7A9"/>
    <w:rsid w:val="3DFD26E7"/>
    <w:rsid w:val="3EEF6174"/>
    <w:rsid w:val="3EFD7FA9"/>
    <w:rsid w:val="3F9EEB87"/>
    <w:rsid w:val="3FB85763"/>
    <w:rsid w:val="3FDFECEB"/>
    <w:rsid w:val="3FFF75FC"/>
    <w:rsid w:val="3FFF8530"/>
    <w:rsid w:val="3FFF9E3E"/>
    <w:rsid w:val="455B9399"/>
    <w:rsid w:val="4BFFBB65"/>
    <w:rsid w:val="4D55F5F3"/>
    <w:rsid w:val="4D5D087D"/>
    <w:rsid w:val="4F411E0D"/>
    <w:rsid w:val="4FBE3D21"/>
    <w:rsid w:val="4FDD0FBD"/>
    <w:rsid w:val="51DF4DDD"/>
    <w:rsid w:val="55AF9615"/>
    <w:rsid w:val="55D93BB6"/>
    <w:rsid w:val="56BFB599"/>
    <w:rsid w:val="56EE29A8"/>
    <w:rsid w:val="571F82A0"/>
    <w:rsid w:val="57FB5C30"/>
    <w:rsid w:val="57FF05A4"/>
    <w:rsid w:val="5B7F4D23"/>
    <w:rsid w:val="5BF9D113"/>
    <w:rsid w:val="5CF0D9D5"/>
    <w:rsid w:val="5D7E4218"/>
    <w:rsid w:val="5DC0EEDE"/>
    <w:rsid w:val="5DD61A7A"/>
    <w:rsid w:val="5DFE4A65"/>
    <w:rsid w:val="5DFF41D2"/>
    <w:rsid w:val="5E7FDE9A"/>
    <w:rsid w:val="5EF99DE8"/>
    <w:rsid w:val="5EFF05C3"/>
    <w:rsid w:val="5F7A70C6"/>
    <w:rsid w:val="5F7B9565"/>
    <w:rsid w:val="5FBFFB47"/>
    <w:rsid w:val="5FE5D935"/>
    <w:rsid w:val="5FE93E39"/>
    <w:rsid w:val="5FF7C222"/>
    <w:rsid w:val="5FFA3C93"/>
    <w:rsid w:val="63AE36C7"/>
    <w:rsid w:val="65EF9646"/>
    <w:rsid w:val="66DF198C"/>
    <w:rsid w:val="66FA1A6E"/>
    <w:rsid w:val="679F3A7B"/>
    <w:rsid w:val="67CFE46A"/>
    <w:rsid w:val="69577561"/>
    <w:rsid w:val="695DD19C"/>
    <w:rsid w:val="697AE024"/>
    <w:rsid w:val="6B5F5BAE"/>
    <w:rsid w:val="6BBF24AB"/>
    <w:rsid w:val="6BE7F2AD"/>
    <w:rsid w:val="6BEF33A6"/>
    <w:rsid w:val="6BEF518A"/>
    <w:rsid w:val="6BFF113E"/>
    <w:rsid w:val="6C3788D1"/>
    <w:rsid w:val="6C7F6654"/>
    <w:rsid w:val="6CEBB676"/>
    <w:rsid w:val="6D8DF7ED"/>
    <w:rsid w:val="6E756034"/>
    <w:rsid w:val="6EE5F250"/>
    <w:rsid w:val="6EF9C4CD"/>
    <w:rsid w:val="6F3D128F"/>
    <w:rsid w:val="6F4678C3"/>
    <w:rsid w:val="6F7F9EBC"/>
    <w:rsid w:val="6FFEFCD5"/>
    <w:rsid w:val="6FFF0F3F"/>
    <w:rsid w:val="6FFFD25F"/>
    <w:rsid w:val="71DF5D38"/>
    <w:rsid w:val="71E6CFF1"/>
    <w:rsid w:val="71EFB639"/>
    <w:rsid w:val="739F6197"/>
    <w:rsid w:val="73B9B9BE"/>
    <w:rsid w:val="73CBA714"/>
    <w:rsid w:val="73DF9139"/>
    <w:rsid w:val="73EEDE2B"/>
    <w:rsid w:val="73FF6E33"/>
    <w:rsid w:val="747F1EED"/>
    <w:rsid w:val="74FF0BF6"/>
    <w:rsid w:val="752A889E"/>
    <w:rsid w:val="75FF3955"/>
    <w:rsid w:val="76BE4D0B"/>
    <w:rsid w:val="76BF3042"/>
    <w:rsid w:val="76E7DF25"/>
    <w:rsid w:val="76FA43B1"/>
    <w:rsid w:val="7757E8D6"/>
    <w:rsid w:val="779917CB"/>
    <w:rsid w:val="779D5666"/>
    <w:rsid w:val="77F759CA"/>
    <w:rsid w:val="77FA4A7D"/>
    <w:rsid w:val="77FB35C1"/>
    <w:rsid w:val="77FC6B6A"/>
    <w:rsid w:val="77FFAE69"/>
    <w:rsid w:val="77FFD6BA"/>
    <w:rsid w:val="78AFB784"/>
    <w:rsid w:val="78B9ED5C"/>
    <w:rsid w:val="78FF02B6"/>
    <w:rsid w:val="79DF34CB"/>
    <w:rsid w:val="79ED8C94"/>
    <w:rsid w:val="79EF4334"/>
    <w:rsid w:val="79FF84B4"/>
    <w:rsid w:val="7A76A801"/>
    <w:rsid w:val="7AB32DB2"/>
    <w:rsid w:val="7AFFBF93"/>
    <w:rsid w:val="7B77A507"/>
    <w:rsid w:val="7B9EA904"/>
    <w:rsid w:val="7BFD88FE"/>
    <w:rsid w:val="7CFFEBD6"/>
    <w:rsid w:val="7D55C462"/>
    <w:rsid w:val="7D755A05"/>
    <w:rsid w:val="7DAE3773"/>
    <w:rsid w:val="7DF707B6"/>
    <w:rsid w:val="7EF7A984"/>
    <w:rsid w:val="7EF9E28F"/>
    <w:rsid w:val="7EFB16B7"/>
    <w:rsid w:val="7EFD7AA6"/>
    <w:rsid w:val="7EFDD68F"/>
    <w:rsid w:val="7EFFC4C4"/>
    <w:rsid w:val="7F2CEA02"/>
    <w:rsid w:val="7F46D2C8"/>
    <w:rsid w:val="7F75F627"/>
    <w:rsid w:val="7F7E5C4B"/>
    <w:rsid w:val="7F8F66C2"/>
    <w:rsid w:val="7F975570"/>
    <w:rsid w:val="7FBFAF8C"/>
    <w:rsid w:val="7FD50FD8"/>
    <w:rsid w:val="7FDD7712"/>
    <w:rsid w:val="7FED1B29"/>
    <w:rsid w:val="7FEF1910"/>
    <w:rsid w:val="7FF35027"/>
    <w:rsid w:val="7FFBC2E5"/>
    <w:rsid w:val="7FFD7AE5"/>
    <w:rsid w:val="7FFEAED1"/>
    <w:rsid w:val="7FFEE96A"/>
    <w:rsid w:val="7FFF3008"/>
    <w:rsid w:val="7FFFAA15"/>
    <w:rsid w:val="8ED7D191"/>
    <w:rsid w:val="8F5F7D71"/>
    <w:rsid w:val="96F10D23"/>
    <w:rsid w:val="96F70272"/>
    <w:rsid w:val="9B551F28"/>
    <w:rsid w:val="9D1F8B36"/>
    <w:rsid w:val="9D22A620"/>
    <w:rsid w:val="9DD75B24"/>
    <w:rsid w:val="9E3C8004"/>
    <w:rsid w:val="9E6FB32E"/>
    <w:rsid w:val="A3FB3FE4"/>
    <w:rsid w:val="A5FE75CC"/>
    <w:rsid w:val="A6DFCF67"/>
    <w:rsid w:val="A75B39B9"/>
    <w:rsid w:val="A7AE132F"/>
    <w:rsid w:val="ABDFC585"/>
    <w:rsid w:val="ABEFB4C0"/>
    <w:rsid w:val="ACDB16E7"/>
    <w:rsid w:val="ACE90159"/>
    <w:rsid w:val="AD9F5DC6"/>
    <w:rsid w:val="AE7FAC96"/>
    <w:rsid w:val="AEFC3F0A"/>
    <w:rsid w:val="AF76F7C5"/>
    <w:rsid w:val="B77BD9EE"/>
    <w:rsid w:val="B7BF63EE"/>
    <w:rsid w:val="B7DF1B71"/>
    <w:rsid w:val="B7DFBE9B"/>
    <w:rsid w:val="B7EFCB91"/>
    <w:rsid w:val="B7FDB592"/>
    <w:rsid w:val="B9BB0E19"/>
    <w:rsid w:val="B9DF77F2"/>
    <w:rsid w:val="B9F747D7"/>
    <w:rsid w:val="BABD1B90"/>
    <w:rsid w:val="BAE5416E"/>
    <w:rsid w:val="BBBDC71E"/>
    <w:rsid w:val="BBF3B176"/>
    <w:rsid w:val="BDBDDC89"/>
    <w:rsid w:val="BDF5E350"/>
    <w:rsid w:val="BDFA53EF"/>
    <w:rsid w:val="BEBF2292"/>
    <w:rsid w:val="BED631D1"/>
    <w:rsid w:val="BEFF4430"/>
    <w:rsid w:val="BEFFD061"/>
    <w:rsid w:val="BF5470B9"/>
    <w:rsid w:val="BF7ABEDD"/>
    <w:rsid w:val="BF7F3579"/>
    <w:rsid w:val="BF97DF6D"/>
    <w:rsid w:val="BFB73898"/>
    <w:rsid w:val="BFB7C862"/>
    <w:rsid w:val="BFBF0F55"/>
    <w:rsid w:val="BFDC3F5F"/>
    <w:rsid w:val="BFDDD604"/>
    <w:rsid w:val="BFF73B00"/>
    <w:rsid w:val="BFFBDB07"/>
    <w:rsid w:val="BFFFD529"/>
    <w:rsid w:val="C2F7F665"/>
    <w:rsid w:val="C8B707BC"/>
    <w:rsid w:val="CB793B3E"/>
    <w:rsid w:val="CEDFF10A"/>
    <w:rsid w:val="CEEDFC63"/>
    <w:rsid w:val="CEFC5D7D"/>
    <w:rsid w:val="CFD731CE"/>
    <w:rsid w:val="CFF7D156"/>
    <w:rsid w:val="CFFE51CE"/>
    <w:rsid w:val="CFFF5C34"/>
    <w:rsid w:val="D1735F12"/>
    <w:rsid w:val="D36F74DD"/>
    <w:rsid w:val="D5FCD92B"/>
    <w:rsid w:val="D64F54BF"/>
    <w:rsid w:val="D6893BB4"/>
    <w:rsid w:val="D7DF2C88"/>
    <w:rsid w:val="D7E75657"/>
    <w:rsid w:val="D7FC6071"/>
    <w:rsid w:val="D8FDF08C"/>
    <w:rsid w:val="D99F8D1D"/>
    <w:rsid w:val="DB79E483"/>
    <w:rsid w:val="DBAFC484"/>
    <w:rsid w:val="DBD75469"/>
    <w:rsid w:val="DD5A7DB0"/>
    <w:rsid w:val="DDF75288"/>
    <w:rsid w:val="DDFDE190"/>
    <w:rsid w:val="DDFFE219"/>
    <w:rsid w:val="DE775CA3"/>
    <w:rsid w:val="DE9A4637"/>
    <w:rsid w:val="DEBF840A"/>
    <w:rsid w:val="DEFDDA24"/>
    <w:rsid w:val="DF3BC23B"/>
    <w:rsid w:val="DFBF4CC4"/>
    <w:rsid w:val="DFCFF669"/>
    <w:rsid w:val="DFD0A87C"/>
    <w:rsid w:val="DFD7E0A6"/>
    <w:rsid w:val="DFDFD897"/>
    <w:rsid w:val="DFEA04CE"/>
    <w:rsid w:val="DFEFD378"/>
    <w:rsid w:val="DFF53DC9"/>
    <w:rsid w:val="DFFFFFD0"/>
    <w:rsid w:val="E3EFB989"/>
    <w:rsid w:val="E51E0F49"/>
    <w:rsid w:val="E5E76E68"/>
    <w:rsid w:val="E7ED7F70"/>
    <w:rsid w:val="E7F8CF7A"/>
    <w:rsid w:val="E9BFDA7F"/>
    <w:rsid w:val="E9DFD1B8"/>
    <w:rsid w:val="EBC792EB"/>
    <w:rsid w:val="EBDED813"/>
    <w:rsid w:val="EBFF9281"/>
    <w:rsid w:val="ED39E791"/>
    <w:rsid w:val="ED913079"/>
    <w:rsid w:val="EE3F1C91"/>
    <w:rsid w:val="EE61A6DB"/>
    <w:rsid w:val="EEBF0927"/>
    <w:rsid w:val="EEF79A86"/>
    <w:rsid w:val="EEFE415F"/>
    <w:rsid w:val="EFDB539E"/>
    <w:rsid w:val="EFDBFF89"/>
    <w:rsid w:val="EFE375C5"/>
    <w:rsid w:val="EFEF035C"/>
    <w:rsid w:val="EFFC89C7"/>
    <w:rsid w:val="F37DE70F"/>
    <w:rsid w:val="F462F08D"/>
    <w:rsid w:val="F476566B"/>
    <w:rsid w:val="F48B58D7"/>
    <w:rsid w:val="F4FFADAE"/>
    <w:rsid w:val="F50F24FB"/>
    <w:rsid w:val="F5EC1A2A"/>
    <w:rsid w:val="F5FF1C3F"/>
    <w:rsid w:val="F63F95BC"/>
    <w:rsid w:val="F73F7030"/>
    <w:rsid w:val="F74FCD39"/>
    <w:rsid w:val="F7673C93"/>
    <w:rsid w:val="F76F7B0E"/>
    <w:rsid w:val="F77FEBD0"/>
    <w:rsid w:val="F79F0727"/>
    <w:rsid w:val="F7B7A1FF"/>
    <w:rsid w:val="F7CF0C00"/>
    <w:rsid w:val="F7DF4B79"/>
    <w:rsid w:val="F7F3C07A"/>
    <w:rsid w:val="F85F9299"/>
    <w:rsid w:val="F95F2570"/>
    <w:rsid w:val="F9AF9535"/>
    <w:rsid w:val="F9BFC628"/>
    <w:rsid w:val="F9F24D96"/>
    <w:rsid w:val="FAFA1CCF"/>
    <w:rsid w:val="FB1F29A8"/>
    <w:rsid w:val="FB3F5DEB"/>
    <w:rsid w:val="FB5F603D"/>
    <w:rsid w:val="FB7C4167"/>
    <w:rsid w:val="FB949681"/>
    <w:rsid w:val="FBED2F2E"/>
    <w:rsid w:val="FBF61731"/>
    <w:rsid w:val="FC7D1E1F"/>
    <w:rsid w:val="FCDD07CF"/>
    <w:rsid w:val="FCED72C5"/>
    <w:rsid w:val="FCFBDFE3"/>
    <w:rsid w:val="FD7D39C1"/>
    <w:rsid w:val="FDA340C6"/>
    <w:rsid w:val="FDDB1372"/>
    <w:rsid w:val="FDDBB7EE"/>
    <w:rsid w:val="FDEDDF37"/>
    <w:rsid w:val="FDF15514"/>
    <w:rsid w:val="FDFDB419"/>
    <w:rsid w:val="FDFF5F58"/>
    <w:rsid w:val="FE7FBFE7"/>
    <w:rsid w:val="FE9C1F22"/>
    <w:rsid w:val="FEB98D0E"/>
    <w:rsid w:val="FEED433E"/>
    <w:rsid w:val="FEEDD179"/>
    <w:rsid w:val="FEFB32CF"/>
    <w:rsid w:val="FEFFF9FA"/>
    <w:rsid w:val="FF6B74AB"/>
    <w:rsid w:val="FF7B50F4"/>
    <w:rsid w:val="FF7E39A9"/>
    <w:rsid w:val="FF7F3960"/>
    <w:rsid w:val="FFB9C12E"/>
    <w:rsid w:val="FFBE0A53"/>
    <w:rsid w:val="FFBE36BC"/>
    <w:rsid w:val="FFBF5785"/>
    <w:rsid w:val="FFBF9878"/>
    <w:rsid w:val="FFD97587"/>
    <w:rsid w:val="FFDF284B"/>
    <w:rsid w:val="FFDF4845"/>
    <w:rsid w:val="FFDF956A"/>
    <w:rsid w:val="FFF71487"/>
    <w:rsid w:val="FFF7C183"/>
    <w:rsid w:val="FFFD9392"/>
    <w:rsid w:val="FFFDC559"/>
    <w:rsid w:val="FFFED7E4"/>
    <w:rsid w:val="FF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</w:pPr>
    <w:rPr>
      <w:rFonts w:ascii="Times New Roman" w:hAnsi="Times New Roman" w:eastAsia="Songti SC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360" w:line="240" w:lineRule="auto"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480" w:after="120" w:line="400" w:lineRule="exact"/>
      <w:ind w:firstLine="0" w:firstLineChars="0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="240" w:after="120" w:line="400" w:lineRule="exact"/>
      <w:outlineLvl w:val="2"/>
    </w:p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spacing w:before="240" w:after="120"/>
      <w:outlineLvl w:val="3"/>
    </w:pPr>
    <w:rPr>
      <w:rFonts w:eastAsia="黑体" w:cstheme="majorBidi"/>
      <w:bCs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pPr>
      <w:jc w:val="center"/>
    </w:pPr>
    <w:rPr>
      <w:rFonts w:asciiTheme="majorHAnsi" w:hAnsiTheme="majorHAnsi" w:cstheme="majorBidi"/>
      <w:sz w:val="24"/>
      <w:szCs w:val="20"/>
    </w:rPr>
  </w:style>
  <w:style w:type="paragraph" w:styleId="7">
    <w:name w:val="annotation text"/>
    <w:basedOn w:val="1"/>
    <w:qFormat/>
    <w:uiPriority w:val="0"/>
  </w:style>
  <w:style w:type="paragraph" w:styleId="8">
    <w:name w:val="Balloon Text"/>
    <w:basedOn w:val="1"/>
    <w:link w:val="24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标题4"/>
    <w:basedOn w:val="1"/>
    <w:next w:val="1"/>
    <w:qFormat/>
    <w:uiPriority w:val="0"/>
    <w:pPr>
      <w:adjustRightInd w:val="0"/>
      <w:snapToGrid w:val="0"/>
      <w:spacing w:before="240" w:after="120" w:line="400" w:lineRule="exact"/>
    </w:pPr>
    <w:rPr>
      <w:rFonts w:eastAsia="黑体-简"/>
    </w:rPr>
  </w:style>
  <w:style w:type="paragraph" w:customStyle="1" w:styleId="17">
    <w:name w:val="图表"/>
    <w:basedOn w:val="1"/>
    <w:next w:val="1"/>
    <w:qFormat/>
    <w:uiPriority w:val="0"/>
    <w:pPr>
      <w:spacing w:before="60" w:after="60" w:line="240" w:lineRule="auto"/>
      <w:ind w:firstLine="0" w:firstLineChars="0"/>
      <w:jc w:val="center"/>
    </w:pPr>
    <w:rPr>
      <w:sz w:val="22"/>
    </w:rPr>
  </w:style>
  <w:style w:type="character" w:customStyle="1" w:styleId="18">
    <w:name w:val="标题 4 字符"/>
    <w:basedOn w:val="14"/>
    <w:link w:val="5"/>
    <w:qFormat/>
    <w:uiPriority w:val="9"/>
    <w:rPr>
      <w:rFonts w:ascii="Times New Roman" w:hAnsi="Times New Roman" w:eastAsia="黑体" w:cstheme="majorBidi"/>
      <w:bCs/>
      <w:kern w:val="0"/>
      <w:sz w:val="24"/>
      <w:szCs w:val="28"/>
    </w:rPr>
  </w:style>
  <w:style w:type="character" w:customStyle="1" w:styleId="19">
    <w:name w:val="标题 2 字符"/>
    <w:basedOn w:val="14"/>
    <w:link w:val="3"/>
    <w:qFormat/>
    <w:uiPriority w:val="9"/>
    <w:rPr>
      <w:rFonts w:ascii="Times New Roman" w:hAnsi="Times New Roman" w:eastAsia="黑体" w:cstheme="majorBidi"/>
      <w:bCs/>
      <w:kern w:val="0"/>
      <w:sz w:val="28"/>
      <w:szCs w:val="32"/>
    </w:rPr>
  </w:style>
  <w:style w:type="character" w:customStyle="1" w:styleId="20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21">
    <w:name w:val="p1"/>
    <w:basedOn w:val="1"/>
    <w:qFormat/>
    <w:uiPriority w:val="0"/>
    <w:rPr>
      <w:rFonts w:ascii="Helvetica" w:hAnsi="Helvetica" w:eastAsia="Helvetica"/>
      <w:szCs w:val="28"/>
    </w:rPr>
  </w:style>
  <w:style w:type="character" w:customStyle="1" w:styleId="22">
    <w:name w:val="页眉 字符"/>
    <w:basedOn w:val="14"/>
    <w:link w:val="10"/>
    <w:qFormat/>
    <w:uiPriority w:val="0"/>
    <w:rPr>
      <w:rFonts w:eastAsia="Songti SC"/>
      <w:sz w:val="18"/>
      <w:szCs w:val="18"/>
    </w:rPr>
  </w:style>
  <w:style w:type="character" w:customStyle="1" w:styleId="23">
    <w:name w:val="页脚 字符"/>
    <w:basedOn w:val="14"/>
    <w:link w:val="9"/>
    <w:qFormat/>
    <w:uiPriority w:val="0"/>
    <w:rPr>
      <w:rFonts w:eastAsia="Songti SC"/>
      <w:sz w:val="18"/>
      <w:szCs w:val="18"/>
    </w:rPr>
  </w:style>
  <w:style w:type="character" w:customStyle="1" w:styleId="24">
    <w:name w:val="批注框文本 字符"/>
    <w:basedOn w:val="14"/>
    <w:link w:val="8"/>
    <w:qFormat/>
    <w:uiPriority w:val="0"/>
    <w:rPr>
      <w:rFonts w:eastAsia="Songti S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1758</Characters>
  <Lines>14</Lines>
  <Paragraphs>4</Paragraphs>
  <TotalTime>1</TotalTime>
  <ScaleCrop>false</ScaleCrop>
  <LinksUpToDate>false</LinksUpToDate>
  <CharactersWithSpaces>2062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2021-04-03T14:24:00Z</dcterms:created>
  <dc:creator>hanfang</dc:creator>
  <cp:lastModifiedBy>韩放</cp:lastModifiedBy>
  <cp:lastPrinted>2021-04-03T14:24:00Z</cp:lastPrinted>
  <dcterms:modified xsi:type="dcterms:W3CDTF">2024-01-11T15:42:42Z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AB3ED2DD5BA41936EB9B9F656E8830F4_42</vt:lpwstr>
  </property>
</Properties>
</file>