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opLinePunct/>
        <w:adjustRightInd w:val="0"/>
        <w:snapToGrid w:val="0"/>
        <w:spacing w:before="217" w:beforeLines="50" w:line="560" w:lineRule="exact"/>
        <w:ind w:left="17"/>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普通高等学校本科教育教学审核评估指标体系</w:t>
      </w:r>
    </w:p>
    <w:p>
      <w:pPr>
        <w:topLinePunct/>
        <w:adjustRightInd w:val="0"/>
        <w:snapToGrid w:val="0"/>
        <w:spacing w:after="217" w:afterLines="50" w:line="560" w:lineRule="exact"/>
        <w:jc w:val="center"/>
        <w:rPr>
          <w:rFonts w:hint="eastAsia" w:ascii="楷体" w:hAnsi="楷体" w:eastAsia="楷体" w:cs="楷体"/>
          <w:kern w:val="0"/>
          <w:sz w:val="24"/>
        </w:rPr>
      </w:pPr>
      <w:r>
        <w:rPr>
          <w:rFonts w:hint="eastAsia" w:ascii="楷体" w:hAnsi="楷体" w:eastAsia="楷体" w:cs="楷体"/>
          <w:sz w:val="24"/>
        </w:rPr>
        <w:t>（第二类第1种审核评估：高水平研究型大学）</w:t>
      </w:r>
      <w:bookmarkStart w:id="0" w:name="_GoBack"/>
      <w:bookmarkEnd w:id="0"/>
    </w:p>
    <w:tbl>
      <w:tblPr>
        <w:tblStyle w:val="8"/>
        <w:tblW w:w="8865" w:type="dxa"/>
        <w:jc w:val="center"/>
        <w:tblLayout w:type="fixed"/>
        <w:tblCellMar>
          <w:top w:w="65" w:type="dxa"/>
          <w:left w:w="108" w:type="dxa"/>
          <w:bottom w:w="0" w:type="dxa"/>
          <w:right w:w="5" w:type="dxa"/>
        </w:tblCellMar>
      </w:tblPr>
      <w:tblGrid>
        <w:gridCol w:w="1242"/>
        <w:gridCol w:w="1591"/>
        <w:gridCol w:w="6032"/>
      </w:tblGrid>
      <w:tr>
        <w:trPr>
          <w:trHeight w:val="369" w:hRule="atLeast"/>
          <w:tblHeader/>
          <w:jc w:val="center"/>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jc w:val="center"/>
              <w:rPr>
                <w:kern w:val="0"/>
                <w:szCs w:val="20"/>
              </w:rPr>
            </w:pPr>
            <w:r>
              <w:rPr>
                <w:rFonts w:ascii="宋体" w:hAnsi="宋体" w:eastAsia="宋体" w:cs="宋体"/>
                <w:kern w:val="0"/>
                <w:sz w:val="21"/>
                <w:szCs w:val="20"/>
              </w:rPr>
              <w:t>一级指标</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jc w:val="center"/>
              <w:rPr>
                <w:kern w:val="0"/>
                <w:szCs w:val="20"/>
              </w:rPr>
            </w:pPr>
            <w:r>
              <w:rPr>
                <w:rFonts w:ascii="宋体" w:hAnsi="宋体" w:eastAsia="宋体" w:cs="宋体"/>
                <w:kern w:val="0"/>
                <w:sz w:val="21"/>
                <w:szCs w:val="20"/>
              </w:rPr>
              <w:t>二级指标</w:t>
            </w: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ind w:right="101"/>
              <w:jc w:val="center"/>
              <w:rPr>
                <w:kern w:val="0"/>
                <w:szCs w:val="20"/>
              </w:rPr>
            </w:pPr>
            <w:r>
              <w:rPr>
                <w:rFonts w:ascii="宋体" w:hAnsi="宋体" w:eastAsia="宋体" w:cs="宋体"/>
                <w:kern w:val="0"/>
                <w:sz w:val="21"/>
                <w:szCs w:val="20"/>
              </w:rPr>
              <w:t>审核重点</w:t>
            </w:r>
          </w:p>
        </w:tc>
      </w:tr>
      <w:tr>
        <w:trPr>
          <w:trHeight w:val="541" w:hRule="atLeast"/>
          <w:jc w:val="center"/>
        </w:trPr>
        <w:tc>
          <w:tcPr>
            <w:tcW w:w="1242" w:type="dxa"/>
            <w:vMerge w:val="restart"/>
            <w:tcBorders>
              <w:top w:val="single" w:color="000000" w:sz="4" w:space="0"/>
              <w:left w:val="single" w:color="000000" w:sz="4" w:space="0"/>
              <w:right w:val="single" w:color="000000" w:sz="4" w:space="0"/>
            </w:tcBorders>
            <w:noWrap w:val="0"/>
            <w:vAlign w:val="center"/>
          </w:tcPr>
          <w:p>
            <w:pPr>
              <w:topLinePunct/>
              <w:adjustRightInd w:val="0"/>
              <w:snapToGrid w:val="0"/>
              <w:spacing w:line="260" w:lineRule="exact"/>
              <w:jc w:val="both"/>
              <w:rPr>
                <w:kern w:val="0"/>
                <w:szCs w:val="20"/>
              </w:rPr>
            </w:pPr>
            <w:r>
              <w:rPr>
                <w:rFonts w:ascii="宋体" w:hAnsi="宋体" w:eastAsia="宋体" w:cs="宋体"/>
                <w:kern w:val="0"/>
                <w:sz w:val="21"/>
                <w:szCs w:val="20"/>
              </w:rPr>
              <w:t>1.办学方向与本科地位</w:t>
            </w:r>
          </w:p>
        </w:tc>
        <w:tc>
          <w:tcPr>
            <w:tcW w:w="1591" w:type="dxa"/>
            <w:vMerge w:val="restart"/>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1.1党的领导</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1.1.1 学校坚持党的全面领导，依法治教、依法办学、依法治校，围绕国家战略需求培养担当民族复兴大任的时代新人情况</w:t>
            </w:r>
          </w:p>
        </w:tc>
      </w:tr>
      <w:tr>
        <w:trPr>
          <w:trHeight w:val="538"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nil"/>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1.1.2 学校坚持社会主义办学方向、贯彻落实立德树人根本任务、把立德树人成效作为检验学校一切工作根本标准情况</w:t>
            </w:r>
          </w:p>
        </w:tc>
      </w:tr>
      <w:tr>
        <w:trPr>
          <w:trHeight w:val="90"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1.2思政教育</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1.2.1 思想政治工作体系建设和“三全育人”工作格局建立情况</w:t>
            </w:r>
          </w:p>
        </w:tc>
      </w:tr>
      <w:tr>
        <w:trPr>
          <w:trHeight w:val="1899"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nil"/>
              <w:left w:val="single" w:color="000000" w:sz="4" w:space="0"/>
              <w:bottom w:val="nil"/>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1.2.2 加强思想政治理论课教师队伍和思政课程建设情况，按要求开设“习近平总书记关于教育的重要论述研究”课程情况</w:t>
            </w:r>
          </w:p>
          <w:p>
            <w:pPr>
              <w:topLinePunct/>
              <w:adjustRightInd w:val="0"/>
              <w:snapToGrid w:val="0"/>
              <w:spacing w:line="260" w:lineRule="exact"/>
              <w:rPr>
                <w:kern w:val="0"/>
                <w:sz w:val="21"/>
                <w:szCs w:val="21"/>
              </w:rPr>
            </w:pPr>
            <w:r>
              <w:rPr>
                <w:rFonts w:ascii="宋体" w:hAnsi="宋体" w:eastAsia="宋体" w:cs="宋体"/>
                <w:kern w:val="0"/>
                <w:sz w:val="21"/>
                <w:szCs w:val="21"/>
              </w:rPr>
              <w:t>【必选】思政课专任教师与折合在校生比例≥1:350</w:t>
            </w:r>
          </w:p>
          <w:p>
            <w:pPr>
              <w:topLinePunct/>
              <w:adjustRightInd w:val="0"/>
              <w:snapToGrid w:val="0"/>
              <w:spacing w:line="260" w:lineRule="exact"/>
              <w:rPr>
                <w:kern w:val="0"/>
                <w:sz w:val="21"/>
                <w:szCs w:val="21"/>
              </w:rPr>
            </w:pPr>
            <w:r>
              <w:rPr>
                <w:rFonts w:ascii="宋体" w:hAnsi="宋体" w:eastAsia="宋体" w:cs="宋体"/>
                <w:kern w:val="0"/>
                <w:sz w:val="21"/>
                <w:szCs w:val="21"/>
              </w:rPr>
              <w:t>【必选】专职党务工作人员和思想政治工作人员总数与全校师生人数比例≥1:100</w:t>
            </w:r>
          </w:p>
          <w:p>
            <w:pPr>
              <w:topLinePunct/>
              <w:adjustRightInd w:val="0"/>
              <w:snapToGrid w:val="0"/>
              <w:spacing w:line="260" w:lineRule="exact"/>
              <w:rPr>
                <w:kern w:val="0"/>
                <w:sz w:val="21"/>
                <w:szCs w:val="21"/>
              </w:rPr>
            </w:pPr>
            <w:r>
              <w:rPr>
                <w:rFonts w:ascii="宋体" w:hAnsi="宋体" w:eastAsia="宋体" w:cs="宋体"/>
                <w:kern w:val="0"/>
                <w:sz w:val="21"/>
                <w:szCs w:val="21"/>
              </w:rPr>
              <w:t>【必选】生均思政工作和党务工作队伍建设专项经费≥20元</w:t>
            </w:r>
          </w:p>
          <w:p>
            <w:pPr>
              <w:topLinePunct/>
              <w:adjustRightInd w:val="0"/>
              <w:snapToGrid w:val="0"/>
              <w:spacing w:line="260" w:lineRule="exact"/>
              <w:rPr>
                <w:kern w:val="0"/>
                <w:sz w:val="21"/>
                <w:szCs w:val="21"/>
              </w:rPr>
            </w:pPr>
            <w:r>
              <w:rPr>
                <w:rFonts w:ascii="宋体" w:hAnsi="宋体" w:eastAsia="宋体" w:cs="宋体"/>
                <w:kern w:val="0"/>
                <w:sz w:val="21"/>
                <w:szCs w:val="21"/>
              </w:rPr>
              <w:t>【必选】生均网络思政工作专项经费≥40元</w:t>
            </w:r>
          </w:p>
        </w:tc>
      </w:tr>
      <w:tr>
        <w:trPr>
          <w:trHeight w:val="578"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nil"/>
              <w:left w:val="single" w:color="000000" w:sz="4" w:space="0"/>
              <w:bottom w:val="nil"/>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spacing w:val="-8"/>
                <w:kern w:val="0"/>
                <w:sz w:val="21"/>
                <w:szCs w:val="21"/>
              </w:rPr>
            </w:pPr>
            <w:r>
              <w:rPr>
                <w:rFonts w:ascii="宋体" w:hAnsi="宋体" w:eastAsia="宋体" w:cs="宋体"/>
                <w:spacing w:val="-8"/>
                <w:kern w:val="0"/>
                <w:sz w:val="21"/>
                <w:szCs w:val="21"/>
              </w:rPr>
              <w:t>1.2.3 “课程思政”建设与成效，课程思政示范课程、课程思政教学研究示范中心以及课程思政教学名师和团队的建设及选树情况</w:t>
            </w:r>
          </w:p>
        </w:tc>
      </w:tr>
      <w:tr>
        <w:trPr>
          <w:trHeight w:val="530"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nil"/>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1.2.4 学校对教师、学生出现思想政治、道德品质等负面问题能否及时发现和妥当处置情况</w:t>
            </w:r>
          </w:p>
        </w:tc>
      </w:tr>
      <w:tr>
        <w:trPr>
          <w:trHeight w:val="578"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000000" w:sz="4" w:space="0"/>
              <w:left w:val="single" w:color="000000"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1.3本科地位</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1.3.1 “以本为本”落实情况，党委重视、校长主抓、院长落实的本科教育良好氛围形成情况</w:t>
            </w:r>
          </w:p>
        </w:tc>
      </w:tr>
      <w:tr>
        <w:trPr>
          <w:trHeight w:val="855"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1.3.2 “四个回归”的实现情况，推进学生刻苦读书学习、教师潜心教书育人、学校倾心培养社会主义建设者和接班人等方面的举措与成效</w:t>
            </w:r>
          </w:p>
        </w:tc>
      </w:tr>
      <w:tr>
        <w:trPr>
          <w:trHeight w:val="2189"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1.3.3 教学经费、教学资源条件、教师精力投入等优先保障本科教学的机制建设情况</w:t>
            </w:r>
          </w:p>
          <w:p>
            <w:pPr>
              <w:topLinePunct/>
              <w:adjustRightInd w:val="0"/>
              <w:snapToGrid w:val="0"/>
              <w:spacing w:line="260" w:lineRule="exact"/>
              <w:rPr>
                <w:kern w:val="0"/>
                <w:sz w:val="21"/>
                <w:szCs w:val="21"/>
              </w:rPr>
            </w:pPr>
            <w:r>
              <w:rPr>
                <w:rFonts w:ascii="宋体" w:hAnsi="宋体" w:eastAsia="宋体" w:cs="宋体"/>
                <w:kern w:val="0"/>
                <w:sz w:val="21"/>
                <w:szCs w:val="21"/>
              </w:rPr>
              <w:t>【必选】生均年教学日常运行支出≥1200元（备注5）</w:t>
            </w:r>
          </w:p>
          <w:p>
            <w:pPr>
              <w:topLinePunct/>
              <w:adjustRightInd w:val="0"/>
              <w:snapToGrid w:val="0"/>
              <w:spacing w:line="260" w:lineRule="exact"/>
              <w:rPr>
                <w:kern w:val="0"/>
                <w:sz w:val="21"/>
                <w:szCs w:val="21"/>
              </w:rPr>
            </w:pPr>
            <w:r>
              <w:rPr>
                <w:rFonts w:ascii="宋体" w:hAnsi="宋体" w:eastAsia="宋体" w:cs="宋体"/>
                <w:kern w:val="0"/>
                <w:sz w:val="21"/>
                <w:szCs w:val="21"/>
              </w:rPr>
              <w:t>【必选】教学日常运行支出占经常性预算内教育事业费拨款（205 类教育拨款扣除专项拨款）与学费收入之和的比例≥13%（教学日常运行支出统计要求见备注5）</w:t>
            </w:r>
          </w:p>
          <w:p>
            <w:pPr>
              <w:topLinePunct/>
              <w:adjustRightInd w:val="0"/>
              <w:snapToGrid w:val="0"/>
              <w:spacing w:line="260" w:lineRule="exact"/>
              <w:rPr>
                <w:kern w:val="0"/>
                <w:sz w:val="21"/>
                <w:szCs w:val="21"/>
              </w:rPr>
            </w:pPr>
            <w:r>
              <w:rPr>
                <w:rFonts w:ascii="宋体" w:hAnsi="宋体" w:eastAsia="宋体" w:cs="宋体"/>
                <w:kern w:val="0"/>
                <w:sz w:val="21"/>
                <w:szCs w:val="21"/>
              </w:rPr>
              <w:t>【必选】年新增教学科研仪器设备值所占比例（要求见备注6）</w:t>
            </w:r>
          </w:p>
          <w:p>
            <w:pPr>
              <w:topLinePunct/>
              <w:adjustRightInd w:val="0"/>
              <w:snapToGrid w:val="0"/>
              <w:spacing w:line="260" w:lineRule="exact"/>
              <w:rPr>
                <w:rFonts w:hint="eastAsia"/>
                <w:kern w:val="0"/>
                <w:sz w:val="21"/>
                <w:szCs w:val="21"/>
              </w:rPr>
            </w:pPr>
            <w:r>
              <w:rPr>
                <w:rFonts w:ascii="宋体" w:hAnsi="宋体" w:eastAsia="宋体" w:cs="宋体"/>
                <w:kern w:val="0"/>
                <w:sz w:val="21"/>
                <w:szCs w:val="21"/>
              </w:rPr>
              <w:t>【必选】生均教学科研仪器设备值（要求见备注7）</w:t>
            </w:r>
          </w:p>
        </w:tc>
      </w:tr>
      <w:tr>
        <w:trPr>
          <w:trHeight w:val="90"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rFonts w:ascii="宋体" w:hAnsi="宋体" w:eastAsia="宋体" w:cs="宋体"/>
                <w:kern w:val="0"/>
                <w:sz w:val="21"/>
                <w:szCs w:val="21"/>
              </w:rPr>
            </w:pPr>
            <w:r>
              <w:rPr>
                <w:rFonts w:hint="eastAsia" w:ascii="宋体" w:hAnsi="宋体" w:eastAsia="宋体" w:cs="宋体"/>
                <w:bCs/>
                <w:kern w:val="0"/>
                <w:sz w:val="21"/>
                <w:szCs w:val="20"/>
              </w:rPr>
              <w:t>1</w:t>
            </w:r>
            <w:r>
              <w:rPr>
                <w:rFonts w:ascii="宋体" w:hAnsi="宋体" w:eastAsia="宋体" w:cs="宋体"/>
                <w:bCs/>
                <w:kern w:val="0"/>
                <w:sz w:val="21"/>
                <w:szCs w:val="20"/>
              </w:rPr>
              <w:t>.3.4</w:t>
            </w:r>
            <w:r>
              <w:rPr>
                <w:rFonts w:hint="eastAsia" w:ascii="宋体" w:hAnsi="宋体" w:eastAsia="宋体" w:cs="宋体"/>
                <w:bCs/>
                <w:kern w:val="0"/>
                <w:sz w:val="21"/>
                <w:szCs w:val="20"/>
              </w:rPr>
              <w:t>学校在教师引进、职称评聘、教师考核等制度设计中突出本科教育教学占主体地位的具体举措和实施成效</w:t>
            </w:r>
          </w:p>
        </w:tc>
      </w:tr>
      <w:tr>
        <w:trPr>
          <w:trHeight w:val="592"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rFonts w:ascii="宋体" w:hAnsi="宋体" w:eastAsia="宋体" w:cs="宋体"/>
                <w:kern w:val="0"/>
                <w:sz w:val="21"/>
                <w:szCs w:val="21"/>
              </w:rPr>
            </w:pPr>
            <w:r>
              <w:rPr>
                <w:rFonts w:ascii="宋体" w:hAnsi="宋体" w:eastAsia="宋体" w:cs="宋体"/>
                <w:kern w:val="0"/>
                <w:sz w:val="21"/>
                <w:szCs w:val="21"/>
              </w:rPr>
              <w:t>1.3.5 学校各职能部门服务本科教育教学工作情况，本科教育教学工作在学校年度考核中的比重情况</w:t>
            </w:r>
          </w:p>
        </w:tc>
      </w:tr>
      <w:tr>
        <w:trPr>
          <w:trHeight w:val="623" w:hRule="atLeast"/>
          <w:jc w:val="center"/>
        </w:trPr>
        <w:tc>
          <w:tcPr>
            <w:tcW w:w="1242" w:type="dxa"/>
            <w:vMerge w:val="restart"/>
            <w:tcBorders>
              <w:top w:val="single" w:color="000000" w:sz="4" w:space="0"/>
              <w:left w:val="single" w:color="000000" w:sz="4" w:space="0"/>
              <w:right w:val="single" w:color="000000" w:sz="4" w:space="0"/>
            </w:tcBorders>
            <w:noWrap w:val="0"/>
            <w:vAlign w:val="center"/>
          </w:tcPr>
          <w:p>
            <w:pPr>
              <w:topLinePunct/>
              <w:adjustRightInd w:val="0"/>
              <w:snapToGrid w:val="0"/>
              <w:spacing w:line="260" w:lineRule="exact"/>
              <w:ind w:right="77"/>
              <w:jc w:val="center"/>
              <w:rPr>
                <w:kern w:val="0"/>
                <w:szCs w:val="20"/>
              </w:rPr>
            </w:pPr>
            <w:r>
              <w:rPr>
                <w:rFonts w:ascii="宋体" w:hAnsi="宋体" w:eastAsia="宋体" w:cs="宋体"/>
                <w:kern w:val="0"/>
                <w:sz w:val="21"/>
                <w:szCs w:val="20"/>
              </w:rPr>
              <w:t>2.培养</w:t>
            </w:r>
            <w:r>
              <w:rPr>
                <w:rFonts w:hint="eastAsia" w:ascii="宋体" w:hAnsi="宋体" w:eastAsia="宋体" w:cs="宋体"/>
                <w:kern w:val="0"/>
                <w:sz w:val="21"/>
                <w:szCs w:val="20"/>
              </w:rPr>
              <w:br w:type="textWrapping"/>
            </w:r>
            <w:r>
              <w:rPr>
                <w:rFonts w:ascii="宋体" w:hAnsi="宋体" w:eastAsia="宋体" w:cs="宋体"/>
                <w:kern w:val="0"/>
                <w:sz w:val="21"/>
                <w:szCs w:val="20"/>
              </w:rPr>
              <w:t>过程</w:t>
            </w:r>
          </w:p>
        </w:tc>
        <w:tc>
          <w:tcPr>
            <w:tcW w:w="1591" w:type="dxa"/>
            <w:vMerge w:val="restart"/>
            <w:tcBorders>
              <w:top w:val="single" w:color="000000"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2.1培养方案</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2.1.1 培养目标符合学校定位、适应社会经济发展需要、体现学生德智体美劳全面发展情况</w:t>
            </w:r>
          </w:p>
        </w:tc>
      </w:tr>
      <w:tr>
        <w:trPr>
          <w:trHeight w:val="1059"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ind w:right="77"/>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2.1.2 培养方案符合国家专业类标准、体现产出导向理念情况</w:t>
            </w:r>
          </w:p>
          <w:p>
            <w:pPr>
              <w:topLinePunct/>
              <w:adjustRightInd w:val="0"/>
              <w:snapToGrid w:val="0"/>
              <w:spacing w:line="260" w:lineRule="exact"/>
              <w:rPr>
                <w:kern w:val="0"/>
                <w:sz w:val="21"/>
                <w:szCs w:val="21"/>
              </w:rPr>
            </w:pPr>
            <w:r>
              <w:rPr>
                <w:rFonts w:ascii="宋体" w:hAnsi="宋体" w:eastAsia="宋体" w:cs="宋体"/>
                <w:kern w:val="0"/>
                <w:sz w:val="21"/>
                <w:szCs w:val="21"/>
              </w:rPr>
              <w:t>【必选】学生毕业必须修满的公共艺术课程学分数≥2学分</w:t>
            </w:r>
          </w:p>
          <w:p>
            <w:pPr>
              <w:topLinePunct/>
              <w:adjustRightInd w:val="0"/>
              <w:snapToGrid w:val="0"/>
              <w:spacing w:line="260" w:lineRule="exact"/>
              <w:rPr>
                <w:kern w:val="0"/>
                <w:sz w:val="21"/>
                <w:szCs w:val="21"/>
              </w:rPr>
            </w:pPr>
            <w:r>
              <w:rPr>
                <w:rFonts w:ascii="宋体" w:hAnsi="宋体" w:eastAsia="宋体" w:cs="宋体"/>
                <w:kern w:val="0"/>
                <w:sz w:val="21"/>
                <w:szCs w:val="21"/>
              </w:rPr>
              <w:t>【必选】劳动教育必修课或必修课程中劳动教育模块学时总数≥32学时</w:t>
            </w:r>
          </w:p>
        </w:tc>
      </w:tr>
      <w:tr>
        <w:trPr>
          <w:trHeight w:val="90"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ind w:right="77"/>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B2.1.3</w:t>
            </w:r>
            <w:r>
              <w:rPr>
                <w:rFonts w:hint="eastAsia" w:ascii="宋体" w:hAnsi="宋体" w:eastAsia="宋体" w:cs="宋体"/>
                <w:kern w:val="0"/>
                <w:sz w:val="21"/>
                <w:szCs w:val="21"/>
              </w:rPr>
              <w:t xml:space="preserve"> </w:t>
            </w:r>
            <w:r>
              <w:rPr>
                <w:rFonts w:ascii="宋体" w:hAnsi="宋体" w:eastAsia="宋体" w:cs="宋体"/>
                <w:kern w:val="0"/>
                <w:sz w:val="21"/>
                <w:szCs w:val="21"/>
              </w:rPr>
              <w:t>培养方案强化理论基础、突出科教融合、注重培养学生创新能力情况</w:t>
            </w:r>
          </w:p>
        </w:tc>
      </w:tr>
      <w:tr>
        <w:trPr>
          <w:trHeight w:val="90" w:hRule="atLeast"/>
          <w:jc w:val="center"/>
        </w:trPr>
        <w:tc>
          <w:tcPr>
            <w:tcW w:w="1242" w:type="dxa"/>
            <w:vMerge w:val="continue"/>
            <w:tcBorders>
              <w:left w:val="single" w:color="000000" w:sz="4" w:space="0"/>
              <w:right w:val="single" w:color="000000" w:sz="4" w:space="0"/>
            </w:tcBorders>
            <w:noWrap w:val="0"/>
            <w:vAlign w:val="center"/>
          </w:tcPr>
          <w:p>
            <w:pPr>
              <w:topLinePunct/>
              <w:adjustRightInd w:val="0"/>
              <w:snapToGrid w:val="0"/>
              <w:spacing w:line="260" w:lineRule="exact"/>
              <w:ind w:right="77"/>
              <w:jc w:val="center"/>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2.2专业建设</w:t>
            </w: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Cs w:val="20"/>
              </w:rPr>
            </w:pPr>
            <w:r>
              <w:rPr>
                <w:rFonts w:ascii="宋体" w:hAnsi="宋体" w:eastAsia="宋体" w:cs="宋体"/>
                <w:kern w:val="0"/>
                <w:sz w:val="21"/>
                <w:szCs w:val="20"/>
              </w:rPr>
              <w:t>B2.2.1专业设置、专业建设与国家</w:t>
            </w:r>
            <w:r>
              <w:rPr>
                <w:rFonts w:hint="eastAsia" w:ascii="宋体" w:hAnsi="宋体" w:eastAsia="宋体" w:cs="宋体"/>
                <w:bCs/>
                <w:kern w:val="0"/>
                <w:sz w:val="21"/>
                <w:szCs w:val="20"/>
              </w:rPr>
              <w:t>和区域</w:t>
            </w:r>
            <w:r>
              <w:rPr>
                <w:rFonts w:hint="eastAsia" w:ascii="宋体" w:hAnsi="宋体" w:eastAsia="宋体" w:cs="宋体"/>
                <w:kern w:val="0"/>
                <w:sz w:val="21"/>
                <w:szCs w:val="20"/>
              </w:rPr>
              <w:t>重大发展战略及社会对创新型</w:t>
            </w:r>
            <w:r>
              <w:rPr>
                <w:rFonts w:ascii="宋体" w:hAnsi="宋体" w:eastAsia="宋体" w:cs="宋体"/>
                <w:kern w:val="0"/>
                <w:sz w:val="21"/>
                <w:szCs w:val="20"/>
              </w:rPr>
              <w:t>人才需求的契合情况</w:t>
            </w:r>
            <w:r>
              <w:rPr>
                <w:rFonts w:hint="eastAsia" w:ascii="宋体" w:hAnsi="宋体" w:eastAsia="宋体" w:cs="宋体"/>
                <w:bCs/>
                <w:kern w:val="0"/>
                <w:sz w:val="21"/>
                <w:szCs w:val="20"/>
              </w:rPr>
              <w:t>和相关指标变化理由。</w:t>
            </w:r>
          </w:p>
          <w:p>
            <w:pPr>
              <w:topLinePunct/>
              <w:adjustRightInd w:val="0"/>
              <w:snapToGrid w:val="0"/>
              <w:spacing w:line="260" w:lineRule="exact"/>
              <w:rPr>
                <w:kern w:val="0"/>
                <w:szCs w:val="20"/>
              </w:rPr>
            </w:pPr>
            <w:r>
              <w:rPr>
                <w:rFonts w:ascii="宋体" w:hAnsi="宋体" w:eastAsia="宋体" w:cs="宋体"/>
                <w:kern w:val="0"/>
                <w:sz w:val="21"/>
                <w:szCs w:val="20"/>
              </w:rPr>
              <w:t>【必选】通过认证（评估）的专业占专业总数的比例</w:t>
            </w:r>
          </w:p>
          <w:p>
            <w:pPr>
              <w:topLinePunct/>
              <w:adjustRightInd w:val="0"/>
              <w:snapToGrid w:val="0"/>
              <w:spacing w:line="260" w:lineRule="exact"/>
              <w:rPr>
                <w:kern w:val="0"/>
                <w:szCs w:val="20"/>
              </w:rPr>
            </w:pPr>
            <w:r>
              <w:rPr>
                <w:rFonts w:ascii="宋体" w:hAnsi="宋体" w:eastAsia="宋体" w:cs="宋体"/>
                <w:kern w:val="0"/>
                <w:sz w:val="21"/>
                <w:szCs w:val="20"/>
              </w:rPr>
              <w:t>【可选】近三年新增专业数</w:t>
            </w:r>
          </w:p>
          <w:p>
            <w:pPr>
              <w:topLinePunct/>
              <w:adjustRightInd w:val="0"/>
              <w:snapToGrid w:val="0"/>
              <w:spacing w:line="260" w:lineRule="exact"/>
              <w:rPr>
                <w:rFonts w:ascii="宋体" w:hAnsi="宋体" w:eastAsia="宋体" w:cs="宋体"/>
                <w:kern w:val="0"/>
                <w:sz w:val="21"/>
                <w:szCs w:val="20"/>
              </w:rPr>
            </w:pPr>
            <w:r>
              <w:rPr>
                <w:rFonts w:ascii="宋体" w:hAnsi="宋体" w:eastAsia="宋体" w:cs="宋体"/>
                <w:kern w:val="0"/>
                <w:sz w:val="21"/>
                <w:szCs w:val="20"/>
              </w:rPr>
              <w:t>【可选】近三年停招专业数</w:t>
            </w:r>
          </w:p>
          <w:p>
            <w:pPr>
              <w:topLinePunct/>
              <w:adjustRightInd w:val="0"/>
              <w:snapToGrid w:val="0"/>
              <w:spacing w:line="260" w:lineRule="exact"/>
              <w:rPr>
                <w:rFonts w:ascii="宋体" w:hAnsi="宋体" w:eastAsia="宋体" w:cs="宋体"/>
                <w:kern w:val="0"/>
                <w:sz w:val="21"/>
                <w:szCs w:val="21"/>
              </w:rPr>
            </w:pPr>
            <w:r>
              <w:rPr>
                <w:rFonts w:ascii="宋体" w:hAnsi="宋体" w:eastAsia="宋体" w:cs="宋体"/>
                <w:bCs/>
                <w:kern w:val="0"/>
                <w:sz w:val="21"/>
                <w:szCs w:val="20"/>
              </w:rPr>
              <w:t>【可选】近三年</w:t>
            </w:r>
            <w:r>
              <w:rPr>
                <w:rFonts w:hint="eastAsia" w:ascii="宋体" w:hAnsi="宋体" w:eastAsia="宋体" w:cs="宋体"/>
                <w:bCs/>
                <w:kern w:val="0"/>
                <w:sz w:val="21"/>
                <w:szCs w:val="20"/>
              </w:rPr>
              <w:t>，每年各专业招生人数动态变化量</w:t>
            </w:r>
          </w:p>
        </w:tc>
      </w:tr>
      <w:tr>
        <w:trPr>
          <w:trHeight w:val="563"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0"/>
              </w:rPr>
              <w:t>B2.2.2</w:t>
            </w:r>
            <w:r>
              <w:rPr>
                <w:rFonts w:hint="eastAsia" w:ascii="宋体" w:hAnsi="宋体" w:eastAsia="宋体" w:cs="宋体"/>
                <w:kern w:val="0"/>
                <w:sz w:val="21"/>
                <w:szCs w:val="20"/>
              </w:rPr>
              <w:t xml:space="preserve"> </w:t>
            </w:r>
            <w:r>
              <w:rPr>
                <w:rFonts w:ascii="宋体" w:hAnsi="宋体" w:eastAsia="宋体" w:cs="宋体"/>
                <w:kern w:val="0"/>
                <w:sz w:val="21"/>
                <w:szCs w:val="20"/>
              </w:rPr>
              <w:t>围绕国家</w:t>
            </w:r>
            <w:r>
              <w:rPr>
                <w:rFonts w:hint="eastAsia" w:ascii="宋体" w:hAnsi="宋体" w:eastAsia="宋体" w:cs="宋体"/>
                <w:kern w:val="0"/>
                <w:sz w:val="21"/>
                <w:szCs w:val="20"/>
              </w:rPr>
              <w:t>和区域经济</w:t>
            </w:r>
            <w:r>
              <w:rPr>
                <w:rFonts w:ascii="宋体" w:hAnsi="宋体" w:eastAsia="宋体" w:cs="宋体"/>
                <w:kern w:val="0"/>
                <w:sz w:val="21"/>
                <w:szCs w:val="20"/>
              </w:rPr>
              <w:t>发展需求，建立自主性、灵活性与规范性、稳定性相统一的专业设置管理体系情况</w:t>
            </w:r>
            <w:r>
              <w:rPr>
                <w:rFonts w:hint="eastAsia" w:ascii="宋体" w:hAnsi="宋体" w:eastAsia="宋体" w:cs="宋体"/>
                <w:bCs/>
                <w:kern w:val="0"/>
                <w:sz w:val="21"/>
                <w:szCs w:val="20"/>
              </w:rPr>
              <w:t>和本科专业结构优化调整机制建设情况</w:t>
            </w:r>
          </w:p>
        </w:tc>
      </w:tr>
      <w:tr>
        <w:trPr>
          <w:trHeight w:val="544"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2.2.3 学校通过主辅修、微专业和双学士学位培养等举措促进复合型人才培养情况</w:t>
            </w:r>
          </w:p>
        </w:tc>
      </w:tr>
      <w:tr>
        <w:trPr>
          <w:trHeight w:val="1854"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2.3实践教学</w:t>
            </w: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2.3.1 强化实践育人、构建实践教学体系、推动实践教学改革情况</w:t>
            </w:r>
          </w:p>
          <w:p>
            <w:pPr>
              <w:topLinePunct/>
              <w:adjustRightInd w:val="0"/>
              <w:snapToGrid w:val="0"/>
              <w:spacing w:line="260" w:lineRule="exact"/>
              <w:rPr>
                <w:kern w:val="0"/>
                <w:sz w:val="21"/>
                <w:szCs w:val="21"/>
              </w:rPr>
            </w:pPr>
            <w:r>
              <w:rPr>
                <w:rFonts w:ascii="宋体" w:hAnsi="宋体" w:eastAsia="宋体" w:cs="宋体"/>
                <w:kern w:val="0"/>
                <w:sz w:val="21"/>
                <w:szCs w:val="21"/>
              </w:rPr>
              <w:t>【必选】实践教学学分占总学分（学时）比例（人文社科类专业</w:t>
            </w:r>
          </w:p>
          <w:p>
            <w:pPr>
              <w:topLinePunct/>
              <w:adjustRightInd w:val="0"/>
              <w:snapToGrid w:val="0"/>
              <w:spacing w:line="260" w:lineRule="exact"/>
              <w:rPr>
                <w:kern w:val="0"/>
                <w:sz w:val="21"/>
                <w:szCs w:val="21"/>
              </w:rPr>
            </w:pPr>
            <w:r>
              <w:rPr>
                <w:rFonts w:ascii="宋体" w:hAnsi="宋体" w:eastAsia="宋体" w:cs="宋体"/>
                <w:kern w:val="0"/>
                <w:sz w:val="21"/>
                <w:szCs w:val="21"/>
              </w:rPr>
              <w:t>≥15%，理工农医类专业≥25%）</w:t>
            </w:r>
          </w:p>
          <w:p>
            <w:pPr>
              <w:topLinePunct/>
              <w:adjustRightInd w:val="0"/>
              <w:snapToGrid w:val="0"/>
              <w:spacing w:line="260" w:lineRule="exact"/>
              <w:rPr>
                <w:kern w:val="0"/>
                <w:sz w:val="21"/>
                <w:szCs w:val="21"/>
              </w:rPr>
            </w:pPr>
            <w:r>
              <w:rPr>
                <w:rFonts w:ascii="宋体" w:hAnsi="宋体" w:eastAsia="宋体" w:cs="宋体"/>
                <w:kern w:val="0"/>
                <w:sz w:val="21"/>
                <w:szCs w:val="21"/>
              </w:rPr>
              <w:t>【必选】国家级、省级实践教学基地（包括实验教学示范中心、虚拟仿真实验中心、临床教学培训示范中心、工程实践基地、农科教合作人才培养基地等）数</w:t>
            </w:r>
          </w:p>
        </w:tc>
      </w:tr>
      <w:tr>
        <w:trPr>
          <w:trHeight w:val="837"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B2.3.2</w:t>
            </w:r>
            <w:r>
              <w:rPr>
                <w:rFonts w:ascii="宋体" w:hAnsi="宋体" w:eastAsia="宋体" w:cs="宋体"/>
                <w:kern w:val="0"/>
                <w:sz w:val="21"/>
                <w:szCs w:val="21"/>
                <w:lang w:val="en"/>
              </w:rPr>
              <w:t xml:space="preserve"> </w:t>
            </w:r>
            <w:r>
              <w:rPr>
                <w:rFonts w:ascii="宋体" w:hAnsi="宋体" w:eastAsia="宋体" w:cs="宋体"/>
                <w:kern w:val="0"/>
                <w:sz w:val="21"/>
                <w:szCs w:val="21"/>
              </w:rPr>
              <w:t>学校与科研院所、企业共建科研实践、实习实训基地情况</w:t>
            </w:r>
          </w:p>
          <w:p>
            <w:pPr>
              <w:topLinePunct/>
              <w:adjustRightInd w:val="0"/>
              <w:snapToGrid w:val="0"/>
              <w:spacing w:line="260" w:lineRule="exact"/>
              <w:rPr>
                <w:kern w:val="0"/>
                <w:sz w:val="21"/>
                <w:szCs w:val="21"/>
              </w:rPr>
            </w:pPr>
            <w:r>
              <w:rPr>
                <w:rFonts w:ascii="宋体" w:hAnsi="宋体" w:eastAsia="宋体" w:cs="宋体"/>
                <w:kern w:val="0"/>
                <w:sz w:val="21"/>
                <w:szCs w:val="21"/>
              </w:rPr>
              <w:t>【可选】与行业企业共建的实验教学中心数</w:t>
            </w:r>
          </w:p>
        </w:tc>
      </w:tr>
      <w:tr>
        <w:trPr>
          <w:trHeight w:val="1004"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B2.3.3</w:t>
            </w:r>
            <w:r>
              <w:rPr>
                <w:rFonts w:ascii="宋体" w:hAnsi="宋体" w:eastAsia="宋体" w:cs="宋体"/>
                <w:kern w:val="0"/>
                <w:sz w:val="21"/>
                <w:szCs w:val="21"/>
                <w:lang w:val="en"/>
              </w:rPr>
              <w:t xml:space="preserve"> </w:t>
            </w:r>
            <w:r>
              <w:rPr>
                <w:rFonts w:ascii="宋体" w:hAnsi="宋体" w:eastAsia="宋体" w:cs="宋体"/>
                <w:kern w:val="0"/>
                <w:sz w:val="21"/>
                <w:szCs w:val="21"/>
              </w:rPr>
              <w:t>毕业论文（设计）选题来自教师专业实践、科研课题情况及完成质量</w:t>
            </w:r>
          </w:p>
          <w:p>
            <w:pPr>
              <w:topLinePunct/>
              <w:adjustRightInd w:val="0"/>
              <w:snapToGrid w:val="0"/>
              <w:spacing w:line="260" w:lineRule="exact"/>
              <w:rPr>
                <w:kern w:val="0"/>
                <w:sz w:val="21"/>
                <w:szCs w:val="21"/>
              </w:rPr>
            </w:pPr>
            <w:r>
              <w:rPr>
                <w:rFonts w:ascii="宋体" w:hAnsi="宋体" w:eastAsia="宋体" w:cs="宋体"/>
                <w:kern w:val="0"/>
                <w:sz w:val="21"/>
                <w:szCs w:val="21"/>
              </w:rPr>
              <w:t>【必选】以实验、实习、工程实践、社会调查</w:t>
            </w:r>
            <w:r>
              <w:rPr>
                <w:rFonts w:hint="eastAsia" w:ascii="宋体" w:hAnsi="宋体" w:eastAsia="宋体" w:cs="宋体"/>
                <w:bCs/>
                <w:kern w:val="0"/>
                <w:sz w:val="21"/>
                <w:szCs w:val="21"/>
              </w:rPr>
              <w:t>和科研课题</w:t>
            </w:r>
            <w:r>
              <w:rPr>
                <w:rFonts w:ascii="宋体" w:hAnsi="宋体" w:eastAsia="宋体" w:cs="宋体"/>
                <w:kern w:val="0"/>
                <w:sz w:val="21"/>
                <w:szCs w:val="21"/>
              </w:rPr>
              <w:t>等实践性工作为基础的毕业论文（设计）比例≥50%</w:t>
            </w:r>
          </w:p>
        </w:tc>
      </w:tr>
      <w:tr>
        <w:trPr>
          <w:trHeight w:val="1067"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2.4课堂教学</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rFonts w:ascii="宋体" w:hAnsi="宋体" w:eastAsia="宋体" w:cs="宋体"/>
                <w:kern w:val="0"/>
                <w:sz w:val="21"/>
                <w:szCs w:val="21"/>
              </w:rPr>
            </w:pPr>
            <w:r>
              <w:rPr>
                <w:rFonts w:ascii="宋体" w:hAnsi="宋体" w:eastAsia="宋体" w:cs="宋体"/>
                <w:kern w:val="0"/>
                <w:sz w:val="21"/>
                <w:szCs w:val="21"/>
              </w:rPr>
              <w:t>2.4.1 实施“以学为中心、以教为主导”的课堂教学，开展以学生学习成果为导向的教学评价情况</w:t>
            </w:r>
          </w:p>
          <w:p>
            <w:pPr>
              <w:topLinePunct/>
              <w:spacing w:line="260" w:lineRule="exact"/>
              <w:rPr>
                <w:bCs/>
                <w:kern w:val="0"/>
                <w:sz w:val="21"/>
                <w:szCs w:val="21"/>
              </w:rPr>
            </w:pPr>
            <w:r>
              <w:rPr>
                <w:rFonts w:ascii="宋体" w:hAnsi="宋体" w:eastAsia="宋体" w:cs="宋体"/>
                <w:bCs/>
                <w:kern w:val="0"/>
                <w:sz w:val="21"/>
                <w:szCs w:val="21"/>
              </w:rPr>
              <w:t>【可选】开出任选课和课程总数比例</w:t>
            </w:r>
          </w:p>
          <w:p>
            <w:pPr>
              <w:topLinePunct/>
              <w:spacing w:line="260" w:lineRule="exact"/>
              <w:rPr>
                <w:kern w:val="0"/>
                <w:sz w:val="21"/>
                <w:szCs w:val="21"/>
              </w:rPr>
            </w:pPr>
            <w:r>
              <w:rPr>
                <w:rFonts w:ascii="宋体" w:hAnsi="宋体" w:eastAsia="宋体" w:cs="宋体"/>
                <w:bCs/>
                <w:kern w:val="0"/>
                <w:sz w:val="21"/>
                <w:szCs w:val="21"/>
              </w:rPr>
              <w:t>【可选】小班授课比例</w:t>
            </w:r>
          </w:p>
        </w:tc>
      </w:tr>
      <w:tr>
        <w:trPr>
          <w:trHeight w:val="550"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2.4.2 推进信息技术与教学过程融合、加强信息化教学环境与资源建设情况</w:t>
            </w:r>
          </w:p>
        </w:tc>
      </w:tr>
      <w:tr>
        <w:tblPrEx>
          <w:tblCellMar>
            <w:top w:w="65" w:type="dxa"/>
            <w:left w:w="108" w:type="dxa"/>
            <w:bottom w:w="0" w:type="dxa"/>
            <w:right w:w="105" w:type="dxa"/>
          </w:tblCellMar>
        </w:tblPrEx>
        <w:trPr>
          <w:trHeight w:val="581" w:hRule="atLeast"/>
          <w:jc w:val="center"/>
        </w:trPr>
        <w:tc>
          <w:tcPr>
            <w:tcW w:w="1242" w:type="dxa"/>
            <w:vMerge w:val="continue"/>
            <w:tcBorders>
              <w:left w:val="single" w:color="000000" w:sz="4" w:space="0"/>
              <w:right w:val="single" w:color="000000" w:sz="4" w:space="0"/>
            </w:tcBorders>
            <w:noWrap w:val="0"/>
            <w:vAlign w:val="center"/>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2.4.3 建立健全教材管理机构和工作制度情况，依照教材审核选用标准和程序选用教材情况；推进马工程重点教材统一使用情况；对教材选用工作出现负面问题的处理情况</w:t>
            </w:r>
          </w:p>
          <w:p>
            <w:pPr>
              <w:topLinePunct/>
              <w:adjustRightInd w:val="0"/>
              <w:snapToGrid w:val="0"/>
              <w:spacing w:line="260" w:lineRule="exact"/>
              <w:rPr>
                <w:kern w:val="0"/>
                <w:sz w:val="21"/>
                <w:szCs w:val="21"/>
              </w:rPr>
            </w:pPr>
            <w:r>
              <w:rPr>
                <w:rFonts w:ascii="宋体" w:hAnsi="宋体" w:eastAsia="宋体" w:cs="宋体"/>
                <w:kern w:val="0"/>
                <w:sz w:val="21"/>
                <w:szCs w:val="21"/>
              </w:rPr>
              <w:t>【必选】使用马工程重点教材课程数量与学校应使用马工程重点教材课程数量的比例</w:t>
            </w:r>
          </w:p>
          <w:p>
            <w:pPr>
              <w:topLinePunct/>
              <w:adjustRightInd w:val="0"/>
              <w:snapToGrid w:val="0"/>
              <w:spacing w:line="260" w:lineRule="exact"/>
              <w:rPr>
                <w:rFonts w:hint="eastAsia"/>
                <w:kern w:val="0"/>
                <w:sz w:val="21"/>
                <w:szCs w:val="21"/>
              </w:rPr>
            </w:pPr>
            <w:r>
              <w:rPr>
                <w:rFonts w:ascii="宋体" w:hAnsi="宋体" w:eastAsia="宋体" w:cs="宋体"/>
                <w:kern w:val="0"/>
                <w:sz w:val="21"/>
                <w:szCs w:val="21"/>
              </w:rPr>
              <w:t>【可选】近五年公开出版的</w:t>
            </w:r>
            <w:r>
              <w:rPr>
                <w:rFonts w:hint="eastAsia" w:ascii="宋体" w:hAnsi="宋体" w:eastAsia="宋体" w:cs="宋体"/>
                <w:bCs/>
                <w:kern w:val="0"/>
                <w:sz w:val="21"/>
                <w:szCs w:val="21"/>
              </w:rPr>
              <w:t>专业平均教材数（教材数/本科专业数）</w:t>
            </w:r>
          </w:p>
        </w:tc>
      </w:tr>
      <w:tr>
        <w:tblPrEx>
          <w:tblCellMar>
            <w:top w:w="65" w:type="dxa"/>
            <w:left w:w="108" w:type="dxa"/>
            <w:bottom w:w="0" w:type="dxa"/>
            <w:right w:w="105" w:type="dxa"/>
          </w:tblCellMar>
        </w:tblPrEx>
        <w:trPr>
          <w:trHeight w:val="20" w:hRule="atLeast"/>
          <w:jc w:val="center"/>
        </w:trPr>
        <w:tc>
          <w:tcPr>
            <w:tcW w:w="1242" w:type="dxa"/>
            <w:vMerge w:val="continue"/>
            <w:tcBorders>
              <w:left w:val="single" w:color="000000" w:sz="4" w:space="0"/>
              <w:right w:val="single" w:color="000000" w:sz="4" w:space="0"/>
            </w:tcBorders>
            <w:noWrap w:val="0"/>
            <w:vAlign w:val="center"/>
          </w:tcPr>
          <w:p>
            <w:pPr>
              <w:topLinePunct/>
              <w:adjustRightInd w:val="0"/>
              <w:snapToGrid w:val="0"/>
              <w:spacing w:line="260" w:lineRule="exact"/>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rFonts w:ascii="宋体" w:hAnsi="宋体" w:eastAsia="宋体" w:cs="宋体"/>
                <w:kern w:val="0"/>
                <w:sz w:val="21"/>
                <w:szCs w:val="21"/>
              </w:rPr>
            </w:pPr>
            <w:r>
              <w:rPr>
                <w:rFonts w:hint="eastAsia" w:ascii="宋体" w:hAnsi="宋体" w:eastAsia="宋体" w:cs="宋体"/>
                <w:bCs/>
                <w:kern w:val="0"/>
                <w:sz w:val="21"/>
                <w:szCs w:val="21"/>
              </w:rPr>
              <w:t>K2</w:t>
            </w:r>
            <w:r>
              <w:rPr>
                <w:rFonts w:ascii="宋体" w:hAnsi="宋体" w:eastAsia="宋体" w:cs="宋体"/>
                <w:bCs/>
                <w:kern w:val="0"/>
                <w:sz w:val="21"/>
                <w:szCs w:val="21"/>
                <w:lang w:val="en"/>
              </w:rPr>
              <w:t>.4.4</w:t>
            </w:r>
            <w:r>
              <w:rPr>
                <w:rFonts w:hint="eastAsia" w:ascii="宋体" w:hAnsi="宋体" w:eastAsia="宋体" w:cs="宋体"/>
                <w:bCs/>
                <w:kern w:val="0"/>
                <w:sz w:val="21"/>
                <w:szCs w:val="21"/>
              </w:rPr>
              <w:t>课程的研究生助教配备和保障措施情况</w:t>
            </w:r>
          </w:p>
        </w:tc>
      </w:tr>
      <w:tr>
        <w:tblPrEx>
          <w:tblCellMar>
            <w:top w:w="65" w:type="dxa"/>
            <w:left w:w="108" w:type="dxa"/>
            <w:bottom w:w="0" w:type="dxa"/>
            <w:right w:w="105" w:type="dxa"/>
          </w:tblCellMar>
        </w:tblPrEx>
        <w:trPr>
          <w:trHeight w:val="581"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jc w:val="center"/>
              <w:rPr>
                <w:kern w:val="0"/>
                <w:sz w:val="21"/>
                <w:szCs w:val="21"/>
              </w:rPr>
            </w:pPr>
            <w:r>
              <w:rPr>
                <w:rFonts w:ascii="宋体" w:hAnsi="宋体" w:eastAsia="宋体" w:cs="宋体"/>
                <w:kern w:val="0"/>
                <w:sz w:val="21"/>
                <w:szCs w:val="21"/>
              </w:rPr>
              <w:t>K 2.5卓越</w:t>
            </w:r>
            <w:r>
              <w:rPr>
                <w:rFonts w:hint="eastAsia" w:ascii="宋体" w:hAnsi="宋体" w:eastAsia="宋体" w:cs="宋体"/>
                <w:kern w:val="0"/>
                <w:sz w:val="21"/>
                <w:szCs w:val="21"/>
              </w:rPr>
              <w:br w:type="textWrapping"/>
            </w:r>
            <w:r>
              <w:rPr>
                <w:rFonts w:ascii="宋体" w:hAnsi="宋体" w:eastAsia="宋体" w:cs="宋体"/>
                <w:kern w:val="0"/>
                <w:sz w:val="21"/>
                <w:szCs w:val="21"/>
              </w:rPr>
              <w:t>培养</w:t>
            </w: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K2.5.1科教协同拔尖人才培养模式改革及其实践效果</w:t>
            </w:r>
          </w:p>
          <w:p>
            <w:pPr>
              <w:topLinePunct/>
              <w:adjustRightInd w:val="0"/>
              <w:snapToGrid w:val="0"/>
              <w:spacing w:line="260" w:lineRule="exact"/>
              <w:rPr>
                <w:kern w:val="0"/>
                <w:sz w:val="21"/>
                <w:szCs w:val="21"/>
              </w:rPr>
            </w:pPr>
            <w:r>
              <w:rPr>
                <w:rFonts w:ascii="宋体" w:hAnsi="宋体" w:eastAsia="宋体" w:cs="宋体"/>
                <w:kern w:val="0"/>
                <w:sz w:val="21"/>
                <w:szCs w:val="21"/>
              </w:rPr>
              <w:t>【可选】基础学科拔尖学生培养计划学生数</w:t>
            </w:r>
          </w:p>
        </w:tc>
      </w:tr>
      <w:tr>
        <w:tblPrEx>
          <w:tblCellMar>
            <w:top w:w="65" w:type="dxa"/>
            <w:left w:w="108" w:type="dxa"/>
            <w:bottom w:w="0" w:type="dxa"/>
            <w:right w:w="105" w:type="dxa"/>
          </w:tblCellMar>
        </w:tblPrEx>
        <w:trPr>
          <w:trHeight w:val="1089"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K2.5.2 加强课程体系整体设计，</w:t>
            </w:r>
            <w:r>
              <w:rPr>
                <w:rFonts w:hint="eastAsia" w:ascii="宋体" w:hAnsi="宋体" w:eastAsia="宋体" w:cs="宋体"/>
                <w:bCs/>
                <w:kern w:val="0"/>
                <w:sz w:val="21"/>
                <w:szCs w:val="21"/>
              </w:rPr>
              <w:t>提供丰富的选课资源和灵活自主的选课方式促进学生个性化发展，</w:t>
            </w:r>
            <w:r>
              <w:rPr>
                <w:rFonts w:ascii="宋体" w:hAnsi="宋体" w:eastAsia="宋体" w:cs="宋体"/>
                <w:kern w:val="0"/>
                <w:sz w:val="21"/>
                <w:szCs w:val="21"/>
              </w:rPr>
              <w:t>优化公共课、专业基础课和专业课比例结构，提高课程建设规划性、系统性情况</w:t>
            </w:r>
          </w:p>
          <w:p>
            <w:pPr>
              <w:topLinePunct/>
              <w:adjustRightInd w:val="0"/>
              <w:snapToGrid w:val="0"/>
              <w:spacing w:line="260" w:lineRule="exact"/>
              <w:rPr>
                <w:kern w:val="0"/>
                <w:sz w:val="21"/>
                <w:szCs w:val="21"/>
              </w:rPr>
            </w:pPr>
            <w:r>
              <w:rPr>
                <w:rFonts w:ascii="宋体" w:hAnsi="宋体" w:eastAsia="宋体" w:cs="宋体"/>
                <w:kern w:val="0"/>
                <w:sz w:val="21"/>
                <w:szCs w:val="21"/>
              </w:rPr>
              <w:t>【必选】本科生生均课程门数</w:t>
            </w:r>
          </w:p>
          <w:p>
            <w:pPr>
              <w:topLinePunct/>
              <w:adjustRightInd w:val="0"/>
              <w:snapToGrid w:val="0"/>
              <w:spacing w:line="260" w:lineRule="exact"/>
              <w:rPr>
                <w:kern w:val="0"/>
                <w:sz w:val="21"/>
                <w:szCs w:val="21"/>
              </w:rPr>
            </w:pPr>
            <w:r>
              <w:rPr>
                <w:rFonts w:ascii="宋体" w:hAnsi="宋体" w:eastAsia="宋体" w:cs="宋体"/>
                <w:kern w:val="0"/>
                <w:sz w:val="21"/>
                <w:szCs w:val="21"/>
              </w:rPr>
              <w:t>【可选】与行业企业共建、共同讲授的课程数</w:t>
            </w:r>
          </w:p>
        </w:tc>
      </w:tr>
      <w:tr>
        <w:tblPrEx>
          <w:tblCellMar>
            <w:top w:w="65" w:type="dxa"/>
            <w:left w:w="108" w:type="dxa"/>
            <w:bottom w:w="0" w:type="dxa"/>
            <w:right w:w="105" w:type="dxa"/>
          </w:tblCellMar>
        </w:tblPrEx>
        <w:trPr>
          <w:trHeight w:val="864"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K2.5.3</w:t>
            </w:r>
            <w:r>
              <w:rPr>
                <w:rFonts w:ascii="宋体" w:hAnsi="宋体" w:eastAsia="宋体" w:cs="宋体"/>
                <w:bCs/>
                <w:kern w:val="0"/>
                <w:sz w:val="21"/>
                <w:szCs w:val="21"/>
              </w:rPr>
              <w:t>实施“六卓越一拔尖”人才培养计划2.0</w:t>
            </w:r>
            <w:r>
              <w:rPr>
                <w:rFonts w:hint="eastAsia" w:ascii="宋体" w:hAnsi="宋体" w:eastAsia="宋体" w:cs="宋体"/>
                <w:bCs/>
                <w:kern w:val="0"/>
                <w:sz w:val="21"/>
                <w:szCs w:val="21"/>
              </w:rPr>
              <w:t>，</w:t>
            </w:r>
            <w:r>
              <w:rPr>
                <w:rFonts w:ascii="宋体" w:hAnsi="宋体" w:eastAsia="宋体" w:cs="宋体"/>
                <w:kern w:val="0"/>
                <w:sz w:val="21"/>
                <w:szCs w:val="21"/>
              </w:rPr>
              <w:t>新工科、新农科、新医科、新文科建设以及围绕“培育高水平教学成果”开展教研教改项目建设的举措及实施成效</w:t>
            </w:r>
          </w:p>
        </w:tc>
      </w:tr>
      <w:tr>
        <w:tblPrEx>
          <w:tblCellMar>
            <w:top w:w="65" w:type="dxa"/>
            <w:left w:w="108" w:type="dxa"/>
            <w:bottom w:w="0" w:type="dxa"/>
            <w:right w:w="105" w:type="dxa"/>
          </w:tblCellMar>
        </w:tblPrEx>
        <w:trPr>
          <w:trHeight w:val="306"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 2.5.4 一流专业“双万计划”建设举措及成效</w:t>
            </w:r>
          </w:p>
        </w:tc>
      </w:tr>
      <w:tr>
        <w:tblPrEx>
          <w:tblCellMar>
            <w:top w:w="65" w:type="dxa"/>
            <w:left w:w="108" w:type="dxa"/>
            <w:bottom w:w="0" w:type="dxa"/>
            <w:right w:w="105" w:type="dxa"/>
          </w:tblCellMar>
        </w:tblPrEx>
        <w:trPr>
          <w:trHeight w:val="327"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 2.5.5 一流课程“双万计划”建设举措及成效</w:t>
            </w:r>
          </w:p>
        </w:tc>
      </w:tr>
      <w:tr>
        <w:tblPrEx>
          <w:tblCellMar>
            <w:top w:w="65" w:type="dxa"/>
            <w:left w:w="108" w:type="dxa"/>
            <w:bottom w:w="0" w:type="dxa"/>
            <w:right w:w="105" w:type="dxa"/>
          </w:tblCellMar>
        </w:tblPrEx>
        <w:trPr>
          <w:trHeight w:val="341"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 2.5.6 优秀教材建设举措及成效</w:t>
            </w:r>
          </w:p>
        </w:tc>
      </w:tr>
      <w:tr>
        <w:tblPrEx>
          <w:tblCellMar>
            <w:top w:w="65" w:type="dxa"/>
            <w:left w:w="108" w:type="dxa"/>
            <w:bottom w:w="0" w:type="dxa"/>
            <w:right w:w="105" w:type="dxa"/>
          </w:tblCellMar>
        </w:tblPrEx>
        <w:trPr>
          <w:trHeight w:val="90"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jc w:val="center"/>
              <w:rPr>
                <w:rFonts w:ascii="宋体" w:hAnsi="宋体" w:eastAsia="宋体" w:cs="宋体"/>
                <w:kern w:val="0"/>
                <w:sz w:val="21"/>
                <w:szCs w:val="21"/>
              </w:rPr>
            </w:pPr>
            <w:r>
              <w:rPr>
                <w:rFonts w:ascii="宋体" w:hAnsi="宋体" w:eastAsia="宋体" w:cs="宋体"/>
                <w:kern w:val="0"/>
                <w:sz w:val="21"/>
                <w:szCs w:val="21"/>
              </w:rPr>
              <w:t>2.6创新创业</w:t>
            </w:r>
          </w:p>
          <w:p>
            <w:pPr>
              <w:topLinePunct/>
              <w:adjustRightInd w:val="0"/>
              <w:snapToGrid w:val="0"/>
              <w:spacing w:line="260" w:lineRule="exact"/>
              <w:jc w:val="center"/>
              <w:rPr>
                <w:kern w:val="0"/>
                <w:sz w:val="21"/>
                <w:szCs w:val="21"/>
              </w:rPr>
            </w:pPr>
            <w:r>
              <w:rPr>
                <w:rFonts w:ascii="宋体" w:hAnsi="宋体" w:eastAsia="宋体" w:cs="宋体"/>
                <w:kern w:val="0"/>
                <w:sz w:val="21"/>
                <w:szCs w:val="21"/>
              </w:rPr>
              <w:t>教育</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2.6.1 创新创业教育工作体系与创新创业教育平台建设情况</w:t>
            </w:r>
          </w:p>
        </w:tc>
      </w:tr>
      <w:tr>
        <w:tblPrEx>
          <w:tblCellMar>
            <w:top w:w="65" w:type="dxa"/>
            <w:left w:w="108" w:type="dxa"/>
            <w:bottom w:w="0" w:type="dxa"/>
            <w:right w:w="105" w:type="dxa"/>
          </w:tblCellMar>
        </w:tblPrEx>
        <w:trPr>
          <w:trHeight w:val="581" w:hRule="atLeast"/>
          <w:jc w:val="center"/>
        </w:trPr>
        <w:tc>
          <w:tcPr>
            <w:tcW w:w="1242" w:type="dxa"/>
            <w:vMerge w:val="continue"/>
            <w:tcBorders>
              <w:left w:val="single" w:color="000000"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2.6.2 将创新创业教育贯穿于人才培养全过程、融入专业教育的举措与成效</w:t>
            </w:r>
          </w:p>
        </w:tc>
      </w:tr>
      <w:tr>
        <w:tblPrEx>
          <w:tblCellMar>
            <w:top w:w="65" w:type="dxa"/>
            <w:left w:w="108" w:type="dxa"/>
            <w:bottom w:w="0" w:type="dxa"/>
            <w:right w:w="105" w:type="dxa"/>
          </w:tblCellMar>
        </w:tblPrEx>
        <w:trPr>
          <w:trHeight w:val="90" w:hRule="atLeast"/>
          <w:jc w:val="center"/>
        </w:trPr>
        <w:tc>
          <w:tcPr>
            <w:tcW w:w="1242" w:type="dxa"/>
            <w:vMerge w:val="continue"/>
            <w:tcBorders>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2.6.3 学生参与创新创业教育积极性及创新创业教育成果</w:t>
            </w:r>
          </w:p>
          <w:p>
            <w:pPr>
              <w:topLinePunct/>
              <w:adjustRightInd w:val="0"/>
              <w:snapToGrid w:val="0"/>
              <w:spacing w:line="260" w:lineRule="exact"/>
              <w:rPr>
                <w:kern w:val="0"/>
                <w:sz w:val="21"/>
                <w:szCs w:val="21"/>
              </w:rPr>
            </w:pPr>
            <w:r>
              <w:rPr>
                <w:rFonts w:ascii="宋体" w:hAnsi="宋体" w:eastAsia="宋体" w:cs="宋体"/>
                <w:kern w:val="0"/>
                <w:sz w:val="21"/>
                <w:szCs w:val="21"/>
              </w:rPr>
              <w:t>【必选】本科生参加各级各类创新创业实践活动人数及比例</w:t>
            </w:r>
          </w:p>
          <w:p>
            <w:pPr>
              <w:topLinePunct/>
              <w:adjustRightInd w:val="0"/>
              <w:snapToGrid w:val="0"/>
              <w:spacing w:line="260" w:lineRule="exact"/>
              <w:rPr>
                <w:kern w:val="0"/>
                <w:sz w:val="21"/>
                <w:szCs w:val="21"/>
              </w:rPr>
            </w:pPr>
            <w:r>
              <w:rPr>
                <w:rFonts w:ascii="宋体" w:hAnsi="宋体" w:eastAsia="宋体" w:cs="宋体"/>
                <w:kern w:val="0"/>
                <w:sz w:val="21"/>
                <w:szCs w:val="21"/>
              </w:rPr>
              <w:t>【必选】“互联网+”大学生创新创业大赛获奖数</w:t>
            </w:r>
          </w:p>
          <w:p>
            <w:pPr>
              <w:topLinePunct/>
              <w:adjustRightInd w:val="0"/>
              <w:snapToGrid w:val="0"/>
              <w:spacing w:line="260" w:lineRule="exact"/>
              <w:rPr>
                <w:rFonts w:ascii="宋体" w:hAnsi="宋体" w:eastAsia="宋体" w:cs="宋体"/>
                <w:kern w:val="0"/>
                <w:sz w:val="21"/>
                <w:szCs w:val="21"/>
              </w:rPr>
            </w:pPr>
            <w:r>
              <w:rPr>
                <w:rFonts w:ascii="宋体" w:hAnsi="宋体" w:eastAsia="宋体" w:cs="宋体"/>
                <w:kern w:val="0"/>
                <w:sz w:val="21"/>
                <w:szCs w:val="21"/>
              </w:rPr>
              <w:t>【可选】省级以上学科竞赛获奖学生人次数占学生总数的比例</w:t>
            </w:r>
          </w:p>
          <w:p>
            <w:pPr>
              <w:topLinePunct/>
              <w:adjustRightInd w:val="0"/>
              <w:snapToGrid w:val="0"/>
              <w:spacing w:line="260" w:lineRule="exact"/>
              <w:rPr>
                <w:rFonts w:hint="eastAsia" w:ascii="宋体" w:hAnsi="宋体" w:eastAsia="宋体" w:cs="宋体"/>
                <w:kern w:val="0"/>
                <w:sz w:val="21"/>
                <w:szCs w:val="21"/>
              </w:rPr>
            </w:pPr>
            <w:r>
              <w:rPr>
                <w:rFonts w:ascii="宋体" w:hAnsi="宋体" w:eastAsia="宋体" w:cs="宋体"/>
                <w:bCs/>
                <w:kern w:val="0"/>
                <w:sz w:val="21"/>
                <w:szCs w:val="21"/>
              </w:rPr>
              <w:t>【可选】</w:t>
            </w:r>
            <w:r>
              <w:rPr>
                <w:rFonts w:hint="eastAsia" w:ascii="宋体" w:hAnsi="宋体" w:eastAsia="宋体" w:cs="宋体"/>
                <w:bCs/>
                <w:kern w:val="0"/>
                <w:sz w:val="21"/>
                <w:szCs w:val="21"/>
              </w:rPr>
              <w:t>应届毕业生创业人数占毕业生总人数比例</w:t>
            </w:r>
          </w:p>
        </w:tc>
      </w:tr>
      <w:tr>
        <w:tblPrEx>
          <w:tblCellMar>
            <w:top w:w="65" w:type="dxa"/>
            <w:left w:w="108" w:type="dxa"/>
            <w:bottom w:w="0" w:type="dxa"/>
            <w:right w:w="105" w:type="dxa"/>
          </w:tblCellMar>
        </w:tblPrEx>
        <w:trPr>
          <w:trHeight w:val="327" w:hRule="atLeast"/>
          <w:jc w:val="center"/>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jc w:val="center"/>
              <w:rPr>
                <w:rFonts w:hint="eastAsia" w:eastAsia="宋体"/>
                <w:kern w:val="0"/>
                <w:szCs w:val="20"/>
              </w:rPr>
            </w:pPr>
            <w:r>
              <w:rPr>
                <w:rFonts w:hint="eastAsia" w:ascii="宋体" w:hAnsi="宋体" w:eastAsia="宋体" w:cs="宋体"/>
                <w:kern w:val="0"/>
                <w:sz w:val="21"/>
                <w:szCs w:val="20"/>
              </w:rPr>
              <w:t>3</w:t>
            </w:r>
            <w:r>
              <w:rPr>
                <w:rFonts w:ascii="宋体" w:hAnsi="宋体" w:eastAsia="宋体" w:cs="宋体"/>
                <w:kern w:val="0"/>
                <w:sz w:val="21"/>
                <w:szCs w:val="20"/>
              </w:rPr>
              <w:t>.</w:t>
            </w:r>
            <w:r>
              <w:rPr>
                <w:rFonts w:hint="eastAsia" w:ascii="宋体" w:hAnsi="宋体" w:eastAsia="宋体" w:cs="宋体"/>
                <w:kern w:val="0"/>
                <w:sz w:val="21"/>
                <w:szCs w:val="20"/>
              </w:rPr>
              <w:t>教学资源与利用</w:t>
            </w: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3.</w:t>
            </w:r>
            <w:r>
              <w:rPr>
                <w:rFonts w:hint="eastAsia" w:ascii="宋体" w:hAnsi="宋体" w:eastAsia="宋体" w:cs="宋体"/>
                <w:kern w:val="0"/>
                <w:sz w:val="21"/>
                <w:szCs w:val="21"/>
              </w:rPr>
              <w:t>1</w:t>
            </w:r>
            <w:r>
              <w:rPr>
                <w:rFonts w:ascii="宋体" w:hAnsi="宋体" w:eastAsia="宋体" w:cs="宋体"/>
                <w:kern w:val="0"/>
                <w:sz w:val="21"/>
                <w:szCs w:val="21"/>
              </w:rPr>
              <w:t>资源建设</w:t>
            </w: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B3.</w:t>
            </w:r>
            <w:r>
              <w:rPr>
                <w:rFonts w:hint="eastAsia" w:ascii="宋体" w:hAnsi="宋体" w:eastAsia="宋体" w:cs="宋体"/>
                <w:kern w:val="0"/>
                <w:sz w:val="21"/>
                <w:szCs w:val="21"/>
              </w:rPr>
              <w:t>1</w:t>
            </w:r>
            <w:r>
              <w:rPr>
                <w:rFonts w:ascii="宋体" w:hAnsi="宋体" w:eastAsia="宋体" w:cs="宋体"/>
                <w:kern w:val="0"/>
                <w:sz w:val="21"/>
                <w:szCs w:val="21"/>
              </w:rPr>
              <w:t>.1</w:t>
            </w:r>
            <w:r>
              <w:rPr>
                <w:rFonts w:hint="eastAsia" w:ascii="宋体" w:hAnsi="宋体" w:eastAsia="宋体" w:cs="宋体"/>
                <w:kern w:val="0"/>
                <w:sz w:val="21"/>
                <w:szCs w:val="21"/>
              </w:rPr>
              <w:t xml:space="preserve"> </w:t>
            </w:r>
            <w:r>
              <w:rPr>
                <w:rFonts w:ascii="宋体" w:hAnsi="宋体" w:eastAsia="宋体" w:cs="宋体"/>
                <w:kern w:val="0"/>
                <w:sz w:val="21"/>
                <w:szCs w:val="21"/>
              </w:rPr>
              <w:t>优质教学资源建设及其共享情况</w:t>
            </w:r>
          </w:p>
        </w:tc>
      </w:tr>
      <w:tr>
        <w:tblPrEx>
          <w:tblCellMar>
            <w:top w:w="65" w:type="dxa"/>
            <w:left w:w="108" w:type="dxa"/>
            <w:bottom w:w="0" w:type="dxa"/>
            <w:right w:w="105" w:type="dxa"/>
          </w:tblCellMar>
        </w:tblPrEx>
        <w:trPr>
          <w:trHeight w:val="9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B3.</w:t>
            </w:r>
            <w:r>
              <w:rPr>
                <w:rFonts w:hint="eastAsia" w:ascii="宋体" w:hAnsi="宋体" w:eastAsia="宋体" w:cs="宋体"/>
                <w:kern w:val="0"/>
                <w:sz w:val="21"/>
                <w:szCs w:val="21"/>
              </w:rPr>
              <w:t>1</w:t>
            </w:r>
            <w:r>
              <w:rPr>
                <w:rFonts w:ascii="宋体" w:hAnsi="宋体" w:eastAsia="宋体" w:cs="宋体"/>
                <w:kern w:val="0"/>
                <w:sz w:val="21"/>
                <w:szCs w:val="21"/>
              </w:rPr>
              <w:t>.2</w:t>
            </w:r>
            <w:r>
              <w:rPr>
                <w:rFonts w:hint="eastAsia" w:ascii="宋体" w:hAnsi="宋体" w:eastAsia="宋体" w:cs="宋体"/>
                <w:kern w:val="0"/>
                <w:sz w:val="21"/>
                <w:szCs w:val="21"/>
              </w:rPr>
              <w:t xml:space="preserve"> </w:t>
            </w:r>
            <w:r>
              <w:rPr>
                <w:rFonts w:ascii="宋体" w:hAnsi="宋体" w:eastAsia="宋体" w:cs="宋体"/>
                <w:kern w:val="0"/>
                <w:sz w:val="21"/>
                <w:szCs w:val="21"/>
              </w:rPr>
              <w:t>面向国家、行业领域需求的高水平教材建设举措与成效</w:t>
            </w:r>
          </w:p>
        </w:tc>
      </w:tr>
      <w:tr>
        <w:tblPrEx>
          <w:tblCellMar>
            <w:top w:w="65" w:type="dxa"/>
            <w:left w:w="108" w:type="dxa"/>
            <w:bottom w:w="0" w:type="dxa"/>
            <w:right w:w="105" w:type="dxa"/>
          </w:tblCellMar>
        </w:tblPrEx>
        <w:trPr>
          <w:trHeight w:val="581"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K3.</w:t>
            </w:r>
            <w:r>
              <w:rPr>
                <w:rFonts w:hint="eastAsia" w:ascii="宋体" w:hAnsi="宋体" w:eastAsia="宋体" w:cs="宋体"/>
                <w:kern w:val="0"/>
                <w:sz w:val="21"/>
                <w:szCs w:val="21"/>
              </w:rPr>
              <w:t>1</w:t>
            </w:r>
            <w:r>
              <w:rPr>
                <w:rFonts w:ascii="宋体" w:hAnsi="宋体" w:eastAsia="宋体" w:cs="宋体"/>
                <w:kern w:val="0"/>
                <w:sz w:val="21"/>
                <w:szCs w:val="21"/>
              </w:rPr>
              <w:t>.3 适应“互联网+”课程教学需要的智慧教室、智能实验室等教学设施和条件建设及使用效果</w:t>
            </w:r>
          </w:p>
        </w:tc>
      </w:tr>
      <w:tr>
        <w:tblPrEx>
          <w:tblCellMar>
            <w:top w:w="65" w:type="dxa"/>
            <w:left w:w="108" w:type="dxa"/>
            <w:bottom w:w="0" w:type="dxa"/>
            <w:right w:w="105" w:type="dxa"/>
          </w:tblCellMar>
        </w:tblPrEx>
        <w:trPr>
          <w:trHeight w:val="32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K3.</w:t>
            </w:r>
            <w:r>
              <w:rPr>
                <w:rFonts w:hint="eastAsia" w:ascii="宋体" w:hAnsi="宋体" w:eastAsia="宋体" w:cs="宋体"/>
                <w:kern w:val="0"/>
                <w:sz w:val="21"/>
                <w:szCs w:val="21"/>
              </w:rPr>
              <w:t>1</w:t>
            </w:r>
            <w:r>
              <w:rPr>
                <w:rFonts w:ascii="宋体" w:hAnsi="宋体" w:eastAsia="宋体" w:cs="宋体"/>
                <w:kern w:val="0"/>
                <w:sz w:val="21"/>
                <w:szCs w:val="21"/>
              </w:rPr>
              <w:t>.4学科资源、科研成果转化为教学资源情况</w:t>
            </w:r>
          </w:p>
        </w:tc>
      </w:tr>
      <w:tr>
        <w:tblPrEx>
          <w:tblCellMar>
            <w:top w:w="65" w:type="dxa"/>
            <w:left w:w="108" w:type="dxa"/>
            <w:bottom w:w="0" w:type="dxa"/>
            <w:right w:w="2" w:type="dxa"/>
          </w:tblCellMar>
        </w:tblPrEx>
        <w:trPr>
          <w:trHeight w:val="1017" w:hRule="atLeast"/>
          <w:jc w:val="center"/>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right="79"/>
              <w:jc w:val="center"/>
              <w:rPr>
                <w:kern w:val="0"/>
                <w:szCs w:val="20"/>
              </w:rPr>
            </w:pPr>
            <w:r>
              <w:rPr>
                <w:rFonts w:ascii="宋体" w:hAnsi="宋体" w:eastAsia="宋体" w:cs="宋体"/>
                <w:kern w:val="0"/>
                <w:sz w:val="21"/>
                <w:szCs w:val="20"/>
              </w:rPr>
              <w:t>4.教师</w:t>
            </w:r>
            <w:r>
              <w:rPr>
                <w:rFonts w:hint="eastAsia" w:ascii="宋体" w:hAnsi="宋体" w:eastAsia="宋体" w:cs="宋体"/>
                <w:kern w:val="0"/>
                <w:sz w:val="21"/>
                <w:szCs w:val="20"/>
              </w:rPr>
              <w:br w:type="textWrapping"/>
            </w:r>
            <w:r>
              <w:rPr>
                <w:rFonts w:ascii="宋体" w:hAnsi="宋体" w:eastAsia="宋体" w:cs="宋体"/>
                <w:kern w:val="0"/>
                <w:sz w:val="21"/>
                <w:szCs w:val="20"/>
              </w:rPr>
              <w:t>队伍</w:t>
            </w: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kern w:val="0"/>
                <w:sz w:val="21"/>
                <w:szCs w:val="21"/>
              </w:rPr>
            </w:pPr>
            <w:r>
              <w:rPr>
                <w:rFonts w:ascii="宋体" w:hAnsi="宋体" w:eastAsia="宋体" w:cs="宋体"/>
                <w:kern w:val="0"/>
                <w:sz w:val="21"/>
                <w:szCs w:val="21"/>
              </w:rPr>
              <w:t>4.1师德师风</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4.1.1 保障把教师思想政治建设放在首位、把师德师风作为评价教师的第一标准，强化师德教育、加强师德宣传、严格考核管理、加强制度建设，落实师德考核贯穿于教育教学全过程等方面的情况</w:t>
            </w:r>
          </w:p>
        </w:tc>
      </w:tr>
      <w:tr>
        <w:tblPrEx>
          <w:tblCellMar>
            <w:top w:w="65" w:type="dxa"/>
            <w:left w:w="108" w:type="dxa"/>
            <w:bottom w:w="0" w:type="dxa"/>
            <w:right w:w="2" w:type="dxa"/>
          </w:tblCellMar>
        </w:tblPrEx>
        <w:trPr>
          <w:trHeight w:val="48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4.1.2 教师在争做“四有”好老师、四个“引路人”，自觉遵守</w:t>
            </w:r>
          </w:p>
          <w:p>
            <w:pPr>
              <w:topLinePunct/>
              <w:spacing w:line="260" w:lineRule="exact"/>
              <w:rPr>
                <w:kern w:val="0"/>
                <w:sz w:val="21"/>
                <w:szCs w:val="21"/>
              </w:rPr>
            </w:pPr>
            <w:r>
              <w:rPr>
                <w:rFonts w:ascii="宋体" w:hAnsi="宋体" w:eastAsia="宋体" w:cs="宋体"/>
                <w:kern w:val="0"/>
                <w:sz w:val="21"/>
                <w:szCs w:val="21"/>
              </w:rPr>
              <w:t>《新时代高校教师职业行为十项准则》等方面的情况</w:t>
            </w:r>
          </w:p>
        </w:tc>
      </w:tr>
      <w:tr>
        <w:tblPrEx>
          <w:tblCellMar>
            <w:top w:w="65" w:type="dxa"/>
            <w:left w:w="108" w:type="dxa"/>
            <w:bottom w:w="0" w:type="dxa"/>
            <w:right w:w="2" w:type="dxa"/>
          </w:tblCellMar>
        </w:tblPrEx>
        <w:trPr>
          <w:trHeight w:val="339"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kern w:val="0"/>
                <w:sz w:val="21"/>
                <w:szCs w:val="21"/>
              </w:rPr>
            </w:pPr>
            <w:r>
              <w:rPr>
                <w:rFonts w:ascii="宋体" w:hAnsi="宋体" w:eastAsia="宋体" w:cs="宋体"/>
                <w:kern w:val="0"/>
                <w:sz w:val="21"/>
                <w:szCs w:val="21"/>
              </w:rPr>
              <w:t>4.2教学能力</w:t>
            </w: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spacing w:line="260" w:lineRule="exact"/>
              <w:rPr>
                <w:rFonts w:ascii="宋体" w:hAnsi="宋体" w:eastAsia="宋体" w:cs="宋体"/>
                <w:kern w:val="0"/>
                <w:sz w:val="21"/>
                <w:szCs w:val="21"/>
              </w:rPr>
            </w:pPr>
            <w:r>
              <w:rPr>
                <w:rFonts w:ascii="宋体" w:hAnsi="宋体" w:eastAsia="宋体" w:cs="宋体"/>
                <w:kern w:val="0"/>
                <w:sz w:val="21"/>
                <w:szCs w:val="21"/>
              </w:rPr>
              <w:t>B4.2.1专任教师的专业水平、教学能力、科研水平和能力</w:t>
            </w:r>
          </w:p>
          <w:p>
            <w:pPr>
              <w:topLinePunct/>
              <w:spacing w:line="260" w:lineRule="exact"/>
              <w:rPr>
                <w:rFonts w:hint="eastAsia"/>
                <w:kern w:val="0"/>
                <w:sz w:val="21"/>
                <w:szCs w:val="21"/>
              </w:rPr>
            </w:pPr>
            <w:r>
              <w:rPr>
                <w:rFonts w:ascii="宋体" w:hAnsi="宋体" w:eastAsia="宋体" w:cs="宋体"/>
                <w:bCs/>
                <w:kern w:val="0"/>
                <w:sz w:val="21"/>
                <w:szCs w:val="21"/>
              </w:rPr>
              <w:t>【必选】</w:t>
            </w:r>
            <w:r>
              <w:rPr>
                <w:rFonts w:hint="eastAsia" w:ascii="宋体" w:hAnsi="宋体" w:eastAsia="宋体" w:cs="宋体"/>
                <w:bCs/>
                <w:kern w:val="0"/>
                <w:sz w:val="21"/>
                <w:szCs w:val="21"/>
              </w:rPr>
              <w:t>省级及以上教学竞赛获奖情况</w:t>
            </w:r>
          </w:p>
        </w:tc>
      </w:tr>
      <w:tr>
        <w:tblPrEx>
          <w:tblCellMar>
            <w:top w:w="65" w:type="dxa"/>
            <w:left w:w="108" w:type="dxa"/>
            <w:bottom w:w="0" w:type="dxa"/>
            <w:right w:w="2" w:type="dxa"/>
          </w:tblCellMar>
        </w:tblPrEx>
        <w:trPr>
          <w:trHeight w:val="29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4.2.2 提升教师教书育人能力和水平的措施</w:t>
            </w:r>
          </w:p>
        </w:tc>
      </w:tr>
      <w:tr>
        <w:tblPrEx>
          <w:tblCellMar>
            <w:top w:w="65" w:type="dxa"/>
            <w:left w:w="108" w:type="dxa"/>
            <w:bottom w:w="0" w:type="dxa"/>
            <w:right w:w="2" w:type="dxa"/>
          </w:tblCellMar>
        </w:tblPrEx>
        <w:trPr>
          <w:trHeight w:val="100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kern w:val="0"/>
                <w:sz w:val="21"/>
                <w:szCs w:val="21"/>
              </w:rPr>
            </w:pPr>
            <w:r>
              <w:rPr>
                <w:rFonts w:ascii="宋体" w:hAnsi="宋体" w:eastAsia="宋体" w:cs="宋体"/>
                <w:kern w:val="0"/>
                <w:sz w:val="21"/>
                <w:szCs w:val="21"/>
              </w:rPr>
              <w:t>4.3教学投入</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4.3.1 教师投入教学、教授全员为本科生授课的激励与约束机制建立情况及实施效果</w:t>
            </w:r>
          </w:p>
          <w:p>
            <w:pPr>
              <w:topLinePunct/>
              <w:spacing w:line="260" w:lineRule="exact"/>
              <w:rPr>
                <w:kern w:val="0"/>
                <w:sz w:val="21"/>
                <w:szCs w:val="21"/>
              </w:rPr>
            </w:pPr>
            <w:r>
              <w:rPr>
                <w:rFonts w:ascii="宋体" w:hAnsi="宋体" w:eastAsia="宋体" w:cs="宋体"/>
                <w:kern w:val="0"/>
                <w:sz w:val="21"/>
                <w:szCs w:val="21"/>
              </w:rPr>
              <w:t>【必选】主讲本科课程教授占教授总数的比例</w:t>
            </w:r>
          </w:p>
          <w:p>
            <w:pPr>
              <w:topLinePunct/>
              <w:spacing w:line="260" w:lineRule="exact"/>
              <w:rPr>
                <w:rFonts w:ascii="宋体" w:hAnsi="宋体" w:eastAsia="宋体" w:cs="宋体"/>
                <w:kern w:val="0"/>
                <w:sz w:val="21"/>
                <w:szCs w:val="21"/>
              </w:rPr>
            </w:pPr>
            <w:r>
              <w:rPr>
                <w:rFonts w:ascii="宋体" w:hAnsi="宋体" w:eastAsia="宋体" w:cs="宋体"/>
                <w:kern w:val="0"/>
                <w:sz w:val="21"/>
                <w:szCs w:val="21"/>
              </w:rPr>
              <w:t>【必选】教授主讲本科课程人均学时数</w:t>
            </w:r>
          </w:p>
        </w:tc>
      </w:tr>
      <w:tr>
        <w:tblPrEx>
          <w:tblCellMar>
            <w:top w:w="65" w:type="dxa"/>
            <w:left w:w="108" w:type="dxa"/>
            <w:bottom w:w="0" w:type="dxa"/>
            <w:right w:w="2" w:type="dxa"/>
          </w:tblCellMar>
        </w:tblPrEx>
        <w:trPr>
          <w:trHeight w:val="9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4.3.2 教师特别是教授和副教授开展教学研究、参与教学改革与建设情况及成效</w:t>
            </w:r>
          </w:p>
          <w:p>
            <w:pPr>
              <w:topLinePunct/>
              <w:spacing w:line="260" w:lineRule="exact"/>
              <w:rPr>
                <w:rFonts w:ascii="宋体" w:hAnsi="宋体" w:eastAsia="宋体" w:cs="宋体"/>
                <w:kern w:val="0"/>
                <w:sz w:val="21"/>
                <w:szCs w:val="21"/>
              </w:rPr>
            </w:pPr>
            <w:r>
              <w:rPr>
                <w:rFonts w:ascii="宋体" w:hAnsi="宋体" w:eastAsia="宋体" w:cs="宋体"/>
                <w:kern w:val="0"/>
                <w:sz w:val="21"/>
                <w:szCs w:val="21"/>
              </w:rPr>
              <w:t>【必选】教授、副教授担任专业负责人的专业占专业总数的比例</w:t>
            </w:r>
            <w:r>
              <w:rPr>
                <w:rFonts w:hint="eastAsia" w:ascii="宋体" w:hAnsi="宋体" w:eastAsia="宋体" w:cs="宋体"/>
                <w:bCs/>
                <w:kern w:val="0"/>
                <w:sz w:val="21"/>
                <w:szCs w:val="21"/>
              </w:rPr>
              <w:t>达到1</w:t>
            </w:r>
            <w:r>
              <w:rPr>
                <w:rFonts w:ascii="宋体" w:hAnsi="宋体" w:eastAsia="宋体" w:cs="宋体"/>
                <w:bCs/>
                <w:kern w:val="0"/>
                <w:sz w:val="21"/>
                <w:szCs w:val="21"/>
              </w:rPr>
              <w:t>00</w:t>
            </w:r>
            <w:r>
              <w:rPr>
                <w:rFonts w:hint="eastAsia" w:ascii="宋体" w:hAnsi="宋体" w:eastAsia="宋体" w:cs="宋体"/>
                <w:bCs/>
                <w:kern w:val="0"/>
                <w:sz w:val="21"/>
                <w:szCs w:val="21"/>
              </w:rPr>
              <w:t>%（备注8）</w:t>
            </w:r>
          </w:p>
          <w:p>
            <w:pPr>
              <w:topLinePunct/>
              <w:spacing w:line="260" w:lineRule="exact"/>
              <w:rPr>
                <w:rFonts w:hint="eastAsia"/>
                <w:kern w:val="0"/>
                <w:sz w:val="21"/>
                <w:szCs w:val="21"/>
              </w:rPr>
            </w:pPr>
            <w:r>
              <w:rPr>
                <w:rFonts w:ascii="宋体" w:hAnsi="宋体" w:eastAsia="宋体" w:cs="宋体"/>
                <w:bCs/>
                <w:kern w:val="0"/>
                <w:sz w:val="21"/>
                <w:szCs w:val="21"/>
              </w:rPr>
              <w:t>【必选】</w:t>
            </w:r>
            <w:r>
              <w:rPr>
                <w:rFonts w:hint="eastAsia" w:ascii="宋体" w:hAnsi="宋体" w:eastAsia="宋体" w:cs="宋体"/>
                <w:bCs/>
                <w:kern w:val="0"/>
                <w:sz w:val="21"/>
                <w:szCs w:val="21"/>
              </w:rPr>
              <w:t>主持省级及以上教学改革项目、课程建设、荣获省级及以上教学成果奖项、指导学科竞赛或科创项目获得省级及以上奖项的教授副教授占教授副教授总数的比例</w:t>
            </w:r>
          </w:p>
        </w:tc>
      </w:tr>
      <w:tr>
        <w:tblPrEx>
          <w:tblCellMar>
            <w:top w:w="65" w:type="dxa"/>
            <w:left w:w="108" w:type="dxa"/>
            <w:bottom w:w="0" w:type="dxa"/>
            <w:right w:w="2" w:type="dxa"/>
          </w:tblCellMar>
        </w:tblPrEx>
        <w:trPr>
          <w:trHeight w:val="29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bCs/>
                <w:kern w:val="0"/>
                <w:sz w:val="21"/>
                <w:szCs w:val="21"/>
              </w:rPr>
            </w:pPr>
            <w:r>
              <w:rPr>
                <w:rFonts w:hint="eastAsia" w:ascii="宋体" w:hAnsi="宋体" w:eastAsia="宋体" w:cs="宋体"/>
                <w:bCs/>
                <w:kern w:val="0"/>
                <w:sz w:val="21"/>
                <w:szCs w:val="21"/>
              </w:rPr>
              <w:t>4.4教学评价</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rFonts w:ascii="宋体" w:hAnsi="宋体" w:eastAsia="宋体" w:cs="宋体"/>
                <w:bCs/>
                <w:kern w:val="0"/>
                <w:sz w:val="21"/>
                <w:szCs w:val="21"/>
              </w:rPr>
            </w:pPr>
            <w:r>
              <w:rPr>
                <w:rFonts w:hint="eastAsia" w:ascii="宋体" w:hAnsi="宋体" w:eastAsia="宋体" w:cs="宋体"/>
                <w:bCs/>
                <w:kern w:val="0"/>
                <w:sz w:val="21"/>
                <w:szCs w:val="21"/>
              </w:rPr>
              <w:t>4</w:t>
            </w:r>
            <w:r>
              <w:rPr>
                <w:rFonts w:ascii="宋体" w:hAnsi="宋体" w:eastAsia="宋体" w:cs="宋体"/>
                <w:bCs/>
                <w:kern w:val="0"/>
                <w:sz w:val="21"/>
                <w:szCs w:val="21"/>
              </w:rPr>
              <w:t>.</w:t>
            </w:r>
            <w:r>
              <w:rPr>
                <w:rFonts w:hint="eastAsia" w:ascii="宋体" w:hAnsi="宋体" w:eastAsia="宋体" w:cs="宋体"/>
                <w:bCs/>
                <w:kern w:val="0"/>
                <w:sz w:val="21"/>
                <w:szCs w:val="21"/>
              </w:rPr>
              <w:t>4</w:t>
            </w:r>
            <w:r>
              <w:rPr>
                <w:rFonts w:ascii="宋体" w:hAnsi="宋体" w:eastAsia="宋体" w:cs="宋体"/>
                <w:bCs/>
                <w:kern w:val="0"/>
                <w:sz w:val="21"/>
                <w:szCs w:val="21"/>
              </w:rPr>
              <w:t>.1</w:t>
            </w:r>
            <w:r>
              <w:rPr>
                <w:rFonts w:hint="eastAsia" w:ascii="宋体" w:hAnsi="宋体" w:eastAsia="宋体" w:cs="宋体"/>
                <w:bCs/>
                <w:kern w:val="0"/>
                <w:sz w:val="21"/>
                <w:szCs w:val="21"/>
              </w:rPr>
              <w:t>教师教学效果考核的制度、措施及实施情况</w:t>
            </w:r>
          </w:p>
        </w:tc>
      </w:tr>
      <w:tr>
        <w:tblPrEx>
          <w:tblCellMar>
            <w:top w:w="65" w:type="dxa"/>
            <w:left w:w="108" w:type="dxa"/>
            <w:bottom w:w="0" w:type="dxa"/>
            <w:right w:w="2" w:type="dxa"/>
          </w:tblCellMar>
        </w:tblPrEx>
        <w:trPr>
          <w:trHeight w:val="146"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rFonts w:ascii="宋体" w:hAnsi="宋体" w:eastAsia="宋体" w:cs="宋体"/>
                <w:bCs/>
                <w:kern w:val="0"/>
                <w:sz w:val="21"/>
                <w:szCs w:val="20"/>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rFonts w:ascii="宋体" w:hAnsi="宋体" w:eastAsia="宋体" w:cs="宋体"/>
                <w:bCs/>
                <w:kern w:val="0"/>
                <w:sz w:val="21"/>
                <w:szCs w:val="21"/>
              </w:rPr>
            </w:pPr>
            <w:r>
              <w:rPr>
                <w:rFonts w:hint="eastAsia" w:ascii="宋体" w:hAnsi="宋体" w:eastAsia="宋体" w:cs="宋体"/>
                <w:bCs/>
                <w:kern w:val="0"/>
                <w:sz w:val="21"/>
                <w:szCs w:val="21"/>
              </w:rPr>
              <w:t>4</w:t>
            </w:r>
            <w:r>
              <w:rPr>
                <w:rFonts w:ascii="宋体" w:hAnsi="宋体" w:eastAsia="宋体" w:cs="宋体"/>
                <w:bCs/>
                <w:kern w:val="0"/>
                <w:sz w:val="21"/>
                <w:szCs w:val="21"/>
              </w:rPr>
              <w:t>.</w:t>
            </w:r>
            <w:r>
              <w:rPr>
                <w:rFonts w:hint="eastAsia" w:ascii="宋体" w:hAnsi="宋体" w:eastAsia="宋体" w:cs="宋体"/>
                <w:bCs/>
                <w:kern w:val="0"/>
                <w:sz w:val="21"/>
                <w:szCs w:val="21"/>
              </w:rPr>
              <w:t>4</w:t>
            </w:r>
            <w:r>
              <w:rPr>
                <w:rFonts w:ascii="宋体" w:hAnsi="宋体" w:eastAsia="宋体" w:cs="宋体"/>
                <w:bCs/>
                <w:kern w:val="0"/>
                <w:sz w:val="21"/>
                <w:szCs w:val="21"/>
              </w:rPr>
              <w:t>.2</w:t>
            </w:r>
            <w:r>
              <w:rPr>
                <w:rFonts w:hint="eastAsia" w:ascii="宋体" w:hAnsi="宋体" w:eastAsia="宋体" w:cs="宋体"/>
                <w:bCs/>
                <w:kern w:val="0"/>
                <w:sz w:val="21"/>
                <w:szCs w:val="21"/>
              </w:rPr>
              <w:t>教师教学效果的总体评价及评价反馈机制运行情况与效果</w:t>
            </w:r>
          </w:p>
        </w:tc>
      </w:tr>
      <w:tr>
        <w:tblPrEx>
          <w:tblCellMar>
            <w:top w:w="65" w:type="dxa"/>
            <w:left w:w="108" w:type="dxa"/>
            <w:bottom w:w="0" w:type="dxa"/>
            <w:right w:w="2" w:type="dxa"/>
          </w:tblCellMar>
        </w:tblPrEx>
        <w:trPr>
          <w:trHeight w:val="775"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rFonts w:ascii="宋体" w:hAnsi="宋体" w:eastAsia="宋体" w:cs="宋体"/>
                <w:kern w:val="0"/>
                <w:sz w:val="21"/>
                <w:szCs w:val="21"/>
              </w:rPr>
            </w:pPr>
            <w:r>
              <w:rPr>
                <w:rFonts w:ascii="宋体" w:hAnsi="宋体" w:eastAsia="宋体" w:cs="宋体"/>
                <w:kern w:val="0"/>
                <w:sz w:val="21"/>
                <w:szCs w:val="21"/>
              </w:rPr>
              <w:t>4.</w:t>
            </w:r>
            <w:r>
              <w:rPr>
                <w:rFonts w:hint="eastAsia" w:ascii="宋体" w:hAnsi="宋体" w:eastAsia="宋体" w:cs="宋体"/>
                <w:kern w:val="0"/>
                <w:sz w:val="21"/>
                <w:szCs w:val="21"/>
              </w:rPr>
              <w:t>5</w:t>
            </w:r>
            <w:r>
              <w:rPr>
                <w:rFonts w:ascii="宋体" w:hAnsi="宋体" w:eastAsia="宋体" w:cs="宋体"/>
                <w:kern w:val="0"/>
                <w:sz w:val="21"/>
                <w:szCs w:val="21"/>
              </w:rPr>
              <w:t>教师发展</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rFonts w:ascii="宋体" w:hAnsi="宋体" w:eastAsia="宋体" w:cs="宋体"/>
                <w:kern w:val="0"/>
                <w:sz w:val="21"/>
                <w:szCs w:val="21"/>
              </w:rPr>
            </w:pPr>
            <w:r>
              <w:rPr>
                <w:rFonts w:ascii="宋体" w:hAnsi="宋体" w:eastAsia="宋体" w:cs="宋体"/>
                <w:kern w:val="0"/>
                <w:sz w:val="21"/>
                <w:szCs w:val="21"/>
              </w:rPr>
              <w:t>4.5.1 重视教师培训与职业发展，把习近平总书记关于教育的重要论述作为核心培训课程，把《习近平总书记教育重要论述讲义》作为核心培训教材，加强思政与党务工作队伍建设的举措与成效</w:t>
            </w:r>
          </w:p>
        </w:tc>
      </w:tr>
      <w:tr>
        <w:tblPrEx>
          <w:tblCellMar>
            <w:top w:w="65" w:type="dxa"/>
            <w:left w:w="108" w:type="dxa"/>
            <w:bottom w:w="0" w:type="dxa"/>
            <w:right w:w="2" w:type="dxa"/>
          </w:tblCellMar>
        </w:tblPrEx>
        <w:trPr>
          <w:trHeight w:val="99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4.5.2 加强教师教学发展中心、基层教学组织和青年教师队伍建设举措与成效</w:t>
            </w:r>
          </w:p>
          <w:p>
            <w:pPr>
              <w:topLinePunct/>
              <w:spacing w:line="260" w:lineRule="exact"/>
              <w:rPr>
                <w:kern w:val="0"/>
                <w:sz w:val="21"/>
                <w:szCs w:val="21"/>
              </w:rPr>
            </w:pPr>
            <w:r>
              <w:rPr>
                <w:rFonts w:ascii="宋体" w:hAnsi="宋体" w:eastAsia="宋体" w:cs="宋体"/>
                <w:kern w:val="0"/>
                <w:sz w:val="21"/>
                <w:szCs w:val="21"/>
              </w:rPr>
              <w:t>【必选】设有基层教学组织的专业占专业总数的比例</w:t>
            </w:r>
          </w:p>
          <w:p>
            <w:pPr>
              <w:topLinePunct/>
              <w:spacing w:line="260" w:lineRule="exact"/>
              <w:rPr>
                <w:kern w:val="0"/>
                <w:sz w:val="21"/>
                <w:szCs w:val="21"/>
              </w:rPr>
            </w:pPr>
            <w:r>
              <w:rPr>
                <w:rFonts w:ascii="宋体" w:hAnsi="宋体" w:eastAsia="宋体" w:cs="宋体"/>
                <w:kern w:val="0"/>
                <w:sz w:val="21"/>
                <w:szCs w:val="21"/>
              </w:rPr>
              <w:t>【可选】教师发展中心培训本校教师的</w:t>
            </w:r>
            <w:r>
              <w:rPr>
                <w:rFonts w:hint="eastAsia" w:ascii="宋体" w:hAnsi="宋体" w:eastAsia="宋体" w:cs="宋体"/>
                <w:bCs/>
                <w:kern w:val="0"/>
                <w:sz w:val="21"/>
                <w:szCs w:val="21"/>
              </w:rPr>
              <w:t>人均学时数</w:t>
            </w:r>
          </w:p>
        </w:tc>
      </w:tr>
      <w:tr>
        <w:tblPrEx>
          <w:tblCellMar>
            <w:top w:w="65" w:type="dxa"/>
            <w:left w:w="108" w:type="dxa"/>
            <w:bottom w:w="0" w:type="dxa"/>
            <w:right w:w="2" w:type="dxa"/>
          </w:tblCellMar>
        </w:tblPrEx>
        <w:trPr>
          <w:trHeight w:val="421"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spacing w:line="260" w:lineRule="exact"/>
              <w:rPr>
                <w:rFonts w:ascii="宋体" w:hAnsi="宋体" w:eastAsia="宋体" w:cs="宋体"/>
                <w:kern w:val="0"/>
                <w:sz w:val="21"/>
                <w:szCs w:val="21"/>
              </w:rPr>
            </w:pPr>
            <w:r>
              <w:rPr>
                <w:rFonts w:ascii="宋体" w:hAnsi="宋体" w:eastAsia="宋体" w:cs="宋体"/>
                <w:kern w:val="0"/>
                <w:sz w:val="21"/>
                <w:szCs w:val="21"/>
              </w:rPr>
              <w:t>B4.5.3</w:t>
            </w:r>
            <w:r>
              <w:rPr>
                <w:rFonts w:hint="eastAsia" w:ascii="宋体" w:hAnsi="宋体" w:eastAsia="宋体" w:cs="宋体"/>
                <w:kern w:val="0"/>
                <w:sz w:val="21"/>
                <w:szCs w:val="21"/>
              </w:rPr>
              <w:t xml:space="preserve"> </w:t>
            </w:r>
            <w:r>
              <w:rPr>
                <w:rFonts w:ascii="宋体" w:hAnsi="宋体" w:eastAsia="宋体" w:cs="宋体"/>
                <w:kern w:val="0"/>
                <w:sz w:val="21"/>
                <w:szCs w:val="21"/>
              </w:rPr>
              <w:t>提升教师教学能力、实践能力、科研能力、信息技术应用能力的政策措施</w:t>
            </w:r>
          </w:p>
        </w:tc>
      </w:tr>
      <w:tr>
        <w:tblPrEx>
          <w:tblCellMar>
            <w:top w:w="65" w:type="dxa"/>
            <w:left w:w="108" w:type="dxa"/>
            <w:bottom w:w="0" w:type="dxa"/>
            <w:right w:w="2" w:type="dxa"/>
          </w:tblCellMar>
        </w:tblPrEx>
        <w:trPr>
          <w:trHeight w:val="22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center"/>
          </w:tcPr>
          <w:p>
            <w:pPr>
              <w:topLinePunct/>
              <w:spacing w:line="260" w:lineRule="exact"/>
              <w:rPr>
                <w:kern w:val="0"/>
                <w:sz w:val="21"/>
                <w:szCs w:val="21"/>
              </w:rPr>
            </w:pPr>
            <w:r>
              <w:rPr>
                <w:rFonts w:ascii="宋体" w:hAnsi="宋体" w:eastAsia="宋体" w:cs="宋体"/>
                <w:kern w:val="0"/>
                <w:sz w:val="21"/>
                <w:szCs w:val="21"/>
              </w:rPr>
              <w:t>B4.5.4</w:t>
            </w:r>
            <w:r>
              <w:rPr>
                <w:rFonts w:hint="eastAsia" w:ascii="宋体" w:hAnsi="宋体" w:eastAsia="宋体" w:cs="宋体"/>
                <w:kern w:val="0"/>
                <w:sz w:val="21"/>
                <w:szCs w:val="21"/>
              </w:rPr>
              <w:t xml:space="preserve"> </w:t>
            </w:r>
            <w:r>
              <w:rPr>
                <w:rFonts w:ascii="宋体" w:hAnsi="宋体" w:eastAsia="宋体" w:cs="宋体"/>
                <w:kern w:val="0"/>
                <w:sz w:val="21"/>
                <w:szCs w:val="21"/>
              </w:rPr>
              <w:t>教师队伍分类管理与建设情况</w:t>
            </w:r>
          </w:p>
        </w:tc>
      </w:tr>
      <w:tr>
        <w:tblPrEx>
          <w:tblCellMar>
            <w:top w:w="65" w:type="dxa"/>
            <w:left w:w="108" w:type="dxa"/>
            <w:bottom w:w="0" w:type="dxa"/>
            <w:right w:w="2" w:type="dxa"/>
          </w:tblCellMar>
        </w:tblPrEx>
        <w:trPr>
          <w:trHeight w:val="491"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K4.5.5 教师赴国（境）外交流、访学、参加国际会议、合作研究等情况</w:t>
            </w:r>
          </w:p>
        </w:tc>
      </w:tr>
      <w:tr>
        <w:tblPrEx>
          <w:tblCellMar>
            <w:top w:w="65" w:type="dxa"/>
            <w:left w:w="108" w:type="dxa"/>
            <w:bottom w:w="0" w:type="dxa"/>
            <w:right w:w="2" w:type="dxa"/>
          </w:tblCellMar>
        </w:tblPrEx>
        <w:trPr>
          <w:trHeight w:val="90" w:hRule="atLeast"/>
          <w:jc w:val="center"/>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right="77"/>
              <w:jc w:val="center"/>
              <w:rPr>
                <w:kern w:val="0"/>
                <w:szCs w:val="20"/>
              </w:rPr>
            </w:pPr>
            <w:r>
              <w:rPr>
                <w:rFonts w:ascii="宋体" w:hAnsi="宋体" w:eastAsia="宋体" w:cs="宋体"/>
                <w:kern w:val="0"/>
                <w:sz w:val="21"/>
                <w:szCs w:val="20"/>
              </w:rPr>
              <w:t>5.学生</w:t>
            </w:r>
            <w:r>
              <w:rPr>
                <w:rFonts w:hint="eastAsia" w:ascii="宋体" w:hAnsi="宋体" w:eastAsia="宋体" w:cs="宋体"/>
                <w:kern w:val="0"/>
                <w:sz w:val="21"/>
                <w:szCs w:val="20"/>
              </w:rPr>
              <w:br w:type="textWrapping"/>
            </w:r>
            <w:r>
              <w:rPr>
                <w:rFonts w:ascii="宋体" w:hAnsi="宋体" w:eastAsia="宋体" w:cs="宋体"/>
                <w:kern w:val="0"/>
                <w:sz w:val="21"/>
                <w:szCs w:val="20"/>
              </w:rPr>
              <w:t>发展</w:t>
            </w: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67"/>
              <w:rPr>
                <w:kern w:val="0"/>
                <w:sz w:val="21"/>
                <w:szCs w:val="21"/>
              </w:rPr>
            </w:pPr>
            <w:r>
              <w:rPr>
                <w:rFonts w:ascii="宋体" w:hAnsi="宋体" w:eastAsia="宋体" w:cs="宋体"/>
                <w:kern w:val="0"/>
                <w:sz w:val="21"/>
                <w:szCs w:val="21"/>
              </w:rPr>
              <w:t>5.1理想信念</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5.1.1 学生理想信念和品德修养</w:t>
            </w:r>
          </w:p>
        </w:tc>
      </w:tr>
      <w:tr>
        <w:tblPrEx>
          <w:tblCellMar>
            <w:top w:w="65" w:type="dxa"/>
            <w:left w:w="108" w:type="dxa"/>
            <w:bottom w:w="0" w:type="dxa"/>
            <w:right w:w="2" w:type="dxa"/>
          </w:tblCellMar>
        </w:tblPrEx>
        <w:trPr>
          <w:trHeight w:val="455"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ind w:right="77"/>
              <w:jc w:val="center"/>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5.1.2 加强学风建设，教育引导学生爱国、励志、求真、力行情况</w:t>
            </w:r>
          </w:p>
        </w:tc>
      </w:tr>
      <w:tr>
        <w:tblPrEx>
          <w:tblCellMar>
            <w:top w:w="65" w:type="dxa"/>
            <w:left w:w="108" w:type="dxa"/>
            <w:bottom w:w="0" w:type="dxa"/>
            <w:right w:w="2" w:type="dxa"/>
          </w:tblCellMar>
        </w:tblPrEx>
        <w:trPr>
          <w:trHeight w:val="1225"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ind w:right="77"/>
              <w:jc w:val="center"/>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jc w:val="center"/>
              <w:rPr>
                <w:kern w:val="0"/>
                <w:sz w:val="21"/>
                <w:szCs w:val="21"/>
              </w:rPr>
            </w:pPr>
            <w:r>
              <w:rPr>
                <w:rFonts w:ascii="宋体" w:hAnsi="宋体" w:eastAsia="宋体" w:cs="宋体"/>
                <w:kern w:val="0"/>
                <w:sz w:val="21"/>
                <w:szCs w:val="21"/>
              </w:rPr>
              <w:t>5.2学业成绩及综合素质</w:t>
            </w:r>
          </w:p>
        </w:tc>
        <w:tc>
          <w:tcPr>
            <w:tcW w:w="6032" w:type="dxa"/>
            <w:tcBorders>
              <w:top w:val="single" w:color="000000" w:sz="4" w:space="0"/>
              <w:left w:val="single" w:color="000000" w:sz="4" w:space="0"/>
              <w:right w:val="single" w:color="000000" w:sz="4" w:space="0"/>
            </w:tcBorders>
            <w:noWrap w:val="0"/>
            <w:vAlign w:val="center"/>
          </w:tcPr>
          <w:p>
            <w:pPr>
              <w:topLinePunct/>
              <w:adjustRightInd w:val="0"/>
              <w:snapToGrid w:val="0"/>
              <w:spacing w:line="260" w:lineRule="exact"/>
              <w:rPr>
                <w:kern w:val="0"/>
                <w:sz w:val="21"/>
                <w:szCs w:val="21"/>
              </w:rPr>
            </w:pPr>
            <w:r>
              <w:rPr>
                <w:rFonts w:ascii="宋体" w:hAnsi="宋体" w:eastAsia="宋体" w:cs="宋体"/>
                <w:kern w:val="0"/>
                <w:sz w:val="21"/>
                <w:szCs w:val="21"/>
              </w:rPr>
              <w:t>B5.2.1学生基础理论、知识面和创新能力</w:t>
            </w:r>
          </w:p>
          <w:p>
            <w:pPr>
              <w:topLinePunct/>
              <w:spacing w:line="260" w:lineRule="exact"/>
              <w:rPr>
                <w:rFonts w:ascii="宋体" w:hAnsi="宋体" w:eastAsia="宋体" w:cs="宋体"/>
                <w:kern w:val="0"/>
                <w:sz w:val="21"/>
                <w:szCs w:val="21"/>
              </w:rPr>
            </w:pPr>
            <w:r>
              <w:rPr>
                <w:rFonts w:ascii="宋体" w:hAnsi="宋体" w:eastAsia="宋体" w:cs="宋体"/>
                <w:kern w:val="0"/>
                <w:sz w:val="21"/>
                <w:szCs w:val="21"/>
              </w:rPr>
              <w:t>【可选】</w:t>
            </w:r>
            <w:r>
              <w:rPr>
                <w:rFonts w:hint="eastAsia" w:ascii="宋体" w:hAnsi="宋体" w:eastAsia="宋体" w:cs="宋体"/>
                <w:bCs/>
                <w:kern w:val="0"/>
                <w:sz w:val="21"/>
                <w:szCs w:val="21"/>
              </w:rPr>
              <w:t>生均</w:t>
            </w:r>
            <w:r>
              <w:rPr>
                <w:rFonts w:ascii="宋体" w:hAnsi="宋体" w:eastAsia="宋体" w:cs="宋体"/>
                <w:kern w:val="0"/>
                <w:sz w:val="21"/>
                <w:szCs w:val="21"/>
              </w:rPr>
              <w:t>以第一作者/通讯作者在公开发行期刊发表的论文数和本科生获批国家发明专利数</w:t>
            </w:r>
          </w:p>
          <w:p>
            <w:pPr>
              <w:topLinePunct/>
              <w:spacing w:line="260" w:lineRule="exact"/>
              <w:rPr>
                <w:rFonts w:hint="eastAsia" w:ascii="宋体" w:hAnsi="宋体" w:eastAsia="宋体" w:cs="宋体"/>
                <w:kern w:val="0"/>
                <w:sz w:val="21"/>
                <w:szCs w:val="21"/>
              </w:rPr>
            </w:pPr>
            <w:r>
              <w:rPr>
                <w:rFonts w:ascii="宋体" w:hAnsi="宋体" w:eastAsia="宋体" w:cs="宋体"/>
                <w:bCs/>
                <w:kern w:val="0"/>
                <w:sz w:val="21"/>
                <w:szCs w:val="21"/>
              </w:rPr>
              <w:t>【可选】</w:t>
            </w:r>
            <w:r>
              <w:rPr>
                <w:rFonts w:hint="eastAsia" w:ascii="宋体" w:hAnsi="宋体" w:eastAsia="宋体" w:cs="宋体"/>
                <w:bCs/>
                <w:kern w:val="0"/>
                <w:sz w:val="21"/>
                <w:szCs w:val="21"/>
              </w:rPr>
              <w:t>生均获省级及以上各类竞赛、专业比赛（艺术类、体育类专业）奖励数</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5.2.2 开展通识教育、体育、美育、劳动教育的措施与成效</w:t>
            </w:r>
          </w:p>
          <w:p>
            <w:pPr>
              <w:topLinePunct/>
              <w:adjustRightInd w:val="0"/>
              <w:snapToGrid w:val="0"/>
              <w:spacing w:line="260" w:lineRule="exact"/>
              <w:rPr>
                <w:kern w:val="0"/>
                <w:sz w:val="21"/>
                <w:szCs w:val="21"/>
              </w:rPr>
            </w:pPr>
            <w:r>
              <w:rPr>
                <w:rFonts w:ascii="宋体" w:hAnsi="宋体" w:eastAsia="宋体" w:cs="宋体"/>
                <w:kern w:val="0"/>
                <w:sz w:val="21"/>
                <w:szCs w:val="21"/>
              </w:rPr>
              <w:t>【必选】体质测试达标率</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5.2.3 社团活动、校园文化、社会实践、志愿服务等活动开展情况及育人效果</w:t>
            </w:r>
          </w:p>
          <w:p>
            <w:pPr>
              <w:topLinePunct/>
              <w:adjustRightInd w:val="0"/>
              <w:snapToGrid w:val="0"/>
              <w:spacing w:line="260" w:lineRule="exact"/>
              <w:rPr>
                <w:kern w:val="0"/>
                <w:sz w:val="21"/>
                <w:szCs w:val="21"/>
              </w:rPr>
            </w:pPr>
            <w:r>
              <w:rPr>
                <w:rFonts w:ascii="宋体" w:hAnsi="宋体" w:eastAsia="宋体" w:cs="宋体"/>
                <w:kern w:val="0"/>
                <w:sz w:val="21"/>
                <w:szCs w:val="21"/>
              </w:rPr>
              <w:t>【可选】省级以上艺术展演、体育竞赛参赛获奖学生人次数占学生总数的比例</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right="70"/>
              <w:jc w:val="center"/>
              <w:rPr>
                <w:kern w:val="0"/>
                <w:sz w:val="21"/>
                <w:szCs w:val="21"/>
              </w:rPr>
            </w:pPr>
            <w:r>
              <w:rPr>
                <w:rFonts w:ascii="宋体" w:hAnsi="宋体" w:eastAsia="宋体" w:cs="宋体"/>
                <w:kern w:val="0"/>
                <w:sz w:val="21"/>
                <w:szCs w:val="21"/>
              </w:rPr>
              <w:t>K 5.3国际</w:t>
            </w:r>
            <w:r>
              <w:rPr>
                <w:rFonts w:hint="eastAsia" w:ascii="宋体" w:hAnsi="宋体" w:eastAsia="宋体" w:cs="宋体"/>
                <w:kern w:val="0"/>
                <w:sz w:val="21"/>
                <w:szCs w:val="21"/>
              </w:rPr>
              <w:br w:type="textWrapping"/>
            </w:r>
            <w:r>
              <w:rPr>
                <w:rFonts w:ascii="宋体" w:hAnsi="宋体" w:eastAsia="宋体" w:cs="宋体"/>
                <w:kern w:val="0"/>
                <w:sz w:val="21"/>
                <w:szCs w:val="21"/>
              </w:rPr>
              <w:t>视野</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K5.3.1 与国（境）外大学合作办学、合作育人以及与本科教育相关的国际交流活动和来华留学生教育开展情况</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K5.3.2 国际先进教育理念、优质教育资源的吸收内化、培育和输出共享情况</w:t>
            </w:r>
          </w:p>
        </w:tc>
      </w:tr>
      <w:tr>
        <w:tblPrEx>
          <w:tblCellMar>
            <w:top w:w="65" w:type="dxa"/>
            <w:left w:w="108" w:type="dxa"/>
            <w:bottom w:w="0" w:type="dxa"/>
            <w:right w:w="2" w:type="dxa"/>
          </w:tblCellMar>
        </w:tblPrEx>
        <w:trPr>
          <w:trHeight w:val="1095"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K5.3.3 学生赴国（境）外交流、访学、实习、竞赛、参加国际会议、合作研究等情况</w:t>
            </w:r>
          </w:p>
          <w:p>
            <w:pPr>
              <w:topLinePunct/>
              <w:adjustRightInd w:val="0"/>
              <w:snapToGrid w:val="0"/>
              <w:spacing w:line="260" w:lineRule="exact"/>
              <w:rPr>
                <w:kern w:val="0"/>
                <w:sz w:val="21"/>
                <w:szCs w:val="21"/>
              </w:rPr>
            </w:pPr>
            <w:r>
              <w:rPr>
                <w:rFonts w:ascii="宋体" w:hAnsi="宋体" w:eastAsia="宋体" w:cs="宋体"/>
                <w:kern w:val="0"/>
                <w:sz w:val="21"/>
                <w:szCs w:val="21"/>
              </w:rPr>
              <w:t>【可选】在学期间赴国（境）外交流、访学、实习的学生数占在校生数的比例</w:t>
            </w:r>
          </w:p>
        </w:tc>
      </w:tr>
      <w:tr>
        <w:tblPrEx>
          <w:tblCellMar>
            <w:top w:w="65" w:type="dxa"/>
            <w:left w:w="108" w:type="dxa"/>
            <w:bottom w:w="0" w:type="dxa"/>
            <w:right w:w="2" w:type="dxa"/>
          </w:tblCellMar>
        </w:tblPrEx>
        <w:trPr>
          <w:trHeight w:val="241"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5.4支持服务</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5.4.1 领导干部和教师参与学生工作的情况</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5.4.2 学校开展学生指导服务工作（学业、职业生涯规划、就业、家庭经济困难学生资助、心理健康咨询等）情况，学业导师、心理辅导教师、校医等配备及师生交流活动专门场所建设情况</w:t>
            </w:r>
          </w:p>
          <w:p>
            <w:pPr>
              <w:topLinePunct/>
              <w:adjustRightInd w:val="0"/>
              <w:snapToGrid w:val="0"/>
              <w:spacing w:line="260" w:lineRule="exact"/>
              <w:rPr>
                <w:kern w:val="0"/>
                <w:sz w:val="21"/>
                <w:szCs w:val="21"/>
              </w:rPr>
            </w:pPr>
            <w:r>
              <w:rPr>
                <w:rFonts w:ascii="宋体" w:hAnsi="宋体" w:eastAsia="宋体" w:cs="宋体"/>
                <w:kern w:val="0"/>
                <w:sz w:val="21"/>
                <w:szCs w:val="21"/>
              </w:rPr>
              <w:t>【必选】专职辅导员岗位与在校生比例≥1:200</w:t>
            </w:r>
          </w:p>
          <w:p>
            <w:pPr>
              <w:topLinePunct/>
              <w:adjustRightInd w:val="0"/>
              <w:snapToGrid w:val="0"/>
              <w:spacing w:line="260" w:lineRule="exact"/>
              <w:rPr>
                <w:kern w:val="0"/>
                <w:sz w:val="21"/>
                <w:szCs w:val="21"/>
              </w:rPr>
            </w:pPr>
            <w:r>
              <w:rPr>
                <w:rFonts w:ascii="宋体" w:hAnsi="宋体" w:eastAsia="宋体" w:cs="宋体"/>
                <w:kern w:val="0"/>
                <w:sz w:val="21"/>
                <w:szCs w:val="21"/>
              </w:rPr>
              <w:t>【必选】专职从事心理健康教育教师与在校生比例≥1:4000且至少2名</w:t>
            </w:r>
          </w:p>
          <w:p>
            <w:pPr>
              <w:topLinePunct/>
              <w:adjustRightInd w:val="0"/>
              <w:snapToGrid w:val="0"/>
              <w:spacing w:line="260" w:lineRule="exact"/>
              <w:rPr>
                <w:kern w:val="0"/>
                <w:sz w:val="21"/>
                <w:szCs w:val="21"/>
              </w:rPr>
            </w:pPr>
            <w:r>
              <w:rPr>
                <w:rFonts w:ascii="宋体" w:hAnsi="宋体" w:eastAsia="宋体" w:cs="宋体"/>
                <w:kern w:val="0"/>
                <w:sz w:val="21"/>
                <w:szCs w:val="21"/>
              </w:rPr>
              <w:t>【必选】专职就业指导教师和专职就业工作人员与应届毕业生比例≥1:500</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5.4.3 与学分制改革和弹性学习相适应的管理制度、辅修专业制度、双学士学位制度建设情况</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Cs w:val="20"/>
              </w:rPr>
            </w:pPr>
            <w:r>
              <w:rPr>
                <w:rFonts w:ascii="宋体" w:hAnsi="宋体" w:eastAsia="宋体" w:cs="宋体"/>
                <w:kern w:val="0"/>
                <w:sz w:val="21"/>
                <w:szCs w:val="20"/>
              </w:rPr>
              <w:t>K5.4.4 探索学生成长增值评价，重视学生学习体验、自我发展能力和职业发展能力的具体措施及实施成效</w:t>
            </w:r>
          </w:p>
        </w:tc>
      </w:tr>
      <w:tr>
        <w:tblPrEx>
          <w:tblCellMar>
            <w:top w:w="65" w:type="dxa"/>
            <w:left w:w="108" w:type="dxa"/>
            <w:bottom w:w="0" w:type="dxa"/>
            <w:right w:w="2" w:type="dxa"/>
          </w:tblCellMar>
        </w:tblPrEx>
        <w:trPr>
          <w:jc w:val="center"/>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right="77"/>
              <w:jc w:val="center"/>
              <w:rPr>
                <w:rFonts w:hint="eastAsia" w:ascii="宋体" w:hAnsi="宋体" w:eastAsia="宋体" w:cs="宋体"/>
                <w:kern w:val="0"/>
                <w:sz w:val="21"/>
                <w:szCs w:val="20"/>
              </w:rPr>
            </w:pPr>
            <w:r>
              <w:rPr>
                <w:rFonts w:hint="eastAsia" w:ascii="宋体" w:hAnsi="宋体" w:eastAsia="宋体" w:cs="宋体"/>
                <w:kern w:val="0"/>
                <w:sz w:val="21"/>
                <w:szCs w:val="20"/>
              </w:rPr>
              <w:t>6</w:t>
            </w:r>
            <w:r>
              <w:rPr>
                <w:rFonts w:ascii="宋体" w:hAnsi="宋体" w:eastAsia="宋体" w:cs="宋体"/>
                <w:kern w:val="0"/>
                <w:sz w:val="21"/>
                <w:szCs w:val="20"/>
              </w:rPr>
              <w:t>.</w:t>
            </w:r>
            <w:r>
              <w:rPr>
                <w:rFonts w:hint="eastAsia" w:ascii="宋体" w:hAnsi="宋体" w:eastAsia="宋体" w:cs="宋体"/>
                <w:kern w:val="0"/>
                <w:sz w:val="21"/>
                <w:szCs w:val="20"/>
              </w:rPr>
              <w:t>质量</w:t>
            </w:r>
          </w:p>
          <w:p>
            <w:pPr>
              <w:topLinePunct/>
              <w:adjustRightInd w:val="0"/>
              <w:snapToGrid w:val="0"/>
              <w:spacing w:line="260" w:lineRule="exact"/>
              <w:ind w:right="77"/>
              <w:jc w:val="center"/>
              <w:rPr>
                <w:rFonts w:hint="eastAsia" w:eastAsia="宋体"/>
                <w:kern w:val="0"/>
                <w:szCs w:val="20"/>
              </w:rPr>
            </w:pPr>
            <w:r>
              <w:rPr>
                <w:rFonts w:hint="eastAsia" w:ascii="宋体" w:hAnsi="宋体" w:eastAsia="宋体" w:cs="宋体"/>
                <w:kern w:val="0"/>
                <w:sz w:val="21"/>
                <w:szCs w:val="20"/>
              </w:rPr>
              <w:t>保障</w:t>
            </w: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1</w:t>
            </w:r>
            <w:r>
              <w:rPr>
                <w:rFonts w:ascii="宋体" w:hAnsi="宋体" w:eastAsia="宋体" w:cs="宋体"/>
                <w:kern w:val="0"/>
                <w:sz w:val="21"/>
                <w:szCs w:val="21"/>
              </w:rPr>
              <w:t>质量管理</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rFonts w:ascii="宋体" w:hAnsi="宋体" w:eastAsia="宋体" w:cs="宋体"/>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1</w:t>
            </w:r>
            <w:r>
              <w:rPr>
                <w:rFonts w:ascii="宋体" w:hAnsi="宋体" w:eastAsia="宋体" w:cs="宋体"/>
                <w:kern w:val="0"/>
                <w:sz w:val="21"/>
                <w:szCs w:val="21"/>
              </w:rPr>
              <w:t>.1 学校质量标准、质量管理制度、质量保障机构及队伍建设情况</w:t>
            </w:r>
          </w:p>
          <w:p>
            <w:pPr>
              <w:topLinePunct/>
              <w:adjustRightInd w:val="0"/>
              <w:snapToGrid w:val="0"/>
              <w:spacing w:line="260" w:lineRule="exact"/>
              <w:rPr>
                <w:rFonts w:hint="eastAsia"/>
                <w:kern w:val="0"/>
                <w:sz w:val="21"/>
                <w:szCs w:val="21"/>
              </w:rPr>
            </w:pPr>
            <w:r>
              <w:rPr>
                <w:rFonts w:ascii="宋体" w:hAnsi="宋体" w:eastAsia="宋体" w:cs="宋体"/>
                <w:bCs/>
                <w:kern w:val="0"/>
                <w:sz w:val="21"/>
                <w:szCs w:val="21"/>
              </w:rPr>
              <w:t>【必选】</w:t>
            </w:r>
            <w:r>
              <w:rPr>
                <w:rFonts w:hint="eastAsia" w:ascii="宋体" w:hAnsi="宋体" w:eastAsia="宋体" w:cs="宋体"/>
                <w:bCs/>
                <w:kern w:val="0"/>
                <w:sz w:val="21"/>
                <w:szCs w:val="21"/>
              </w:rPr>
              <w:t>专职质量监控部门和专职质量监控人员（备注9）</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rFonts w:hint="eastAsia" w:ascii="宋体" w:hAnsi="宋体" w:eastAsia="宋体" w:cs="宋体"/>
                <w:bCs/>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1</w:t>
            </w:r>
            <w:r>
              <w:rPr>
                <w:rFonts w:ascii="宋体" w:hAnsi="宋体" w:eastAsia="宋体" w:cs="宋体"/>
                <w:kern w:val="0"/>
                <w:sz w:val="21"/>
                <w:szCs w:val="21"/>
              </w:rPr>
              <w:t>.2 加强考试管理、严肃考试纪律、完善过程性考核与结果性考核有机结合的学业考评制度、严把考试和毕业出口关的情况</w:t>
            </w:r>
            <w:r>
              <w:rPr>
                <w:rFonts w:hint="eastAsia" w:ascii="宋体" w:hAnsi="宋体" w:eastAsia="宋体" w:cs="宋体"/>
                <w:kern w:val="0"/>
                <w:sz w:val="21"/>
                <w:szCs w:val="21"/>
              </w:rPr>
              <w:t>，</w:t>
            </w:r>
            <w:r>
              <w:rPr>
                <w:rFonts w:hint="eastAsia" w:ascii="宋体" w:hAnsi="宋体" w:eastAsia="宋体" w:cs="宋体"/>
                <w:bCs/>
                <w:kern w:val="0"/>
                <w:sz w:val="21"/>
                <w:szCs w:val="21"/>
              </w:rPr>
              <w:t>针对超学制毕业学生的政策与措施</w:t>
            </w:r>
          </w:p>
          <w:p>
            <w:pPr>
              <w:topLinePunct/>
              <w:adjustRightInd w:val="0"/>
              <w:snapToGrid w:val="0"/>
              <w:spacing w:line="260" w:lineRule="exact"/>
              <w:rPr>
                <w:rFonts w:hint="eastAsia" w:ascii="宋体" w:hAnsi="宋体" w:eastAsia="宋体" w:cs="宋体"/>
                <w:kern w:val="0"/>
                <w:sz w:val="21"/>
                <w:szCs w:val="21"/>
              </w:rPr>
            </w:pPr>
            <w:r>
              <w:rPr>
                <w:rFonts w:ascii="宋体" w:hAnsi="宋体" w:eastAsia="宋体" w:cs="宋体"/>
                <w:bCs/>
                <w:kern w:val="0"/>
                <w:sz w:val="21"/>
                <w:szCs w:val="21"/>
              </w:rPr>
              <w:t>【可选】</w:t>
            </w:r>
            <w:r>
              <w:rPr>
                <w:rFonts w:hint="eastAsia" w:ascii="宋体" w:hAnsi="宋体" w:eastAsia="宋体" w:cs="宋体"/>
                <w:bCs/>
                <w:kern w:val="0"/>
                <w:sz w:val="21"/>
                <w:szCs w:val="21"/>
              </w:rPr>
              <w:t>标准学制毕业率</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2</w:t>
            </w:r>
            <w:r>
              <w:rPr>
                <w:rFonts w:ascii="宋体" w:hAnsi="宋体" w:eastAsia="宋体" w:cs="宋体"/>
                <w:kern w:val="0"/>
                <w:sz w:val="21"/>
                <w:szCs w:val="21"/>
              </w:rPr>
              <w:t>质量改进</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2</w:t>
            </w:r>
            <w:r>
              <w:rPr>
                <w:rFonts w:ascii="宋体" w:hAnsi="宋体" w:eastAsia="宋体" w:cs="宋体"/>
                <w:kern w:val="0"/>
                <w:sz w:val="21"/>
                <w:szCs w:val="21"/>
              </w:rPr>
              <w:t>.1 学校内部质量评估制度的建立及接受外部评估（含院校评估、专业认证等）情况</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2</w:t>
            </w:r>
            <w:r>
              <w:rPr>
                <w:rFonts w:ascii="宋体" w:hAnsi="宋体" w:eastAsia="宋体" w:cs="宋体"/>
                <w:kern w:val="0"/>
                <w:sz w:val="21"/>
                <w:szCs w:val="21"/>
              </w:rPr>
              <w:t>.2 质量持续改进机制建设与改进效果</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adjustRightInd w:val="0"/>
              <w:snapToGrid w:val="0"/>
              <w:spacing w:line="260" w:lineRule="exact"/>
              <w:ind w:left="67"/>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3</w:t>
            </w:r>
            <w:r>
              <w:rPr>
                <w:rFonts w:ascii="宋体" w:hAnsi="宋体" w:eastAsia="宋体" w:cs="宋体"/>
                <w:kern w:val="0"/>
                <w:sz w:val="21"/>
                <w:szCs w:val="21"/>
              </w:rPr>
              <w:t>质量文化</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3</w:t>
            </w:r>
            <w:r>
              <w:rPr>
                <w:rFonts w:ascii="宋体" w:hAnsi="宋体" w:eastAsia="宋体" w:cs="宋体"/>
                <w:kern w:val="0"/>
                <w:sz w:val="21"/>
                <w:szCs w:val="21"/>
              </w:rPr>
              <w:t>.1 自觉、自省、自律、自查、自纠的质量文化建设情况</w:t>
            </w:r>
          </w:p>
        </w:tc>
      </w:tr>
      <w:tr>
        <w:tblPrEx>
          <w:tblCellMar>
            <w:top w:w="65" w:type="dxa"/>
            <w:left w:w="108" w:type="dxa"/>
            <w:bottom w:w="0" w:type="dxa"/>
            <w:right w:w="2" w:type="dxa"/>
          </w:tblCellMar>
        </w:tblPrEx>
        <w:trPr>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adjustRightInd w:val="0"/>
              <w:snapToGrid w:val="0"/>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adjustRightInd w:val="0"/>
              <w:snapToGrid w:val="0"/>
              <w:spacing w:line="260" w:lineRule="exact"/>
              <w:rPr>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3</w:t>
            </w:r>
            <w:r>
              <w:rPr>
                <w:rFonts w:ascii="宋体" w:hAnsi="宋体" w:eastAsia="宋体" w:cs="宋体"/>
                <w:kern w:val="0"/>
                <w:sz w:val="21"/>
                <w:szCs w:val="21"/>
              </w:rPr>
              <w:t>.</w:t>
            </w:r>
            <w:r>
              <w:rPr>
                <w:rFonts w:hint="eastAsia" w:ascii="宋体" w:hAnsi="宋体" w:eastAsia="宋体" w:cs="宋体"/>
                <w:kern w:val="0"/>
                <w:sz w:val="21"/>
                <w:szCs w:val="21"/>
              </w:rPr>
              <w:t>2</w:t>
            </w:r>
            <w:r>
              <w:rPr>
                <w:rFonts w:ascii="宋体" w:hAnsi="宋体" w:eastAsia="宋体" w:cs="宋体"/>
                <w:kern w:val="0"/>
                <w:sz w:val="21"/>
                <w:szCs w:val="21"/>
              </w:rPr>
              <w:t xml:space="preserve"> 质量信息公开制度及年度质量报告</w:t>
            </w:r>
          </w:p>
        </w:tc>
      </w:tr>
      <w:tr>
        <w:tblPrEx>
          <w:tblCellMar>
            <w:top w:w="65" w:type="dxa"/>
            <w:left w:w="108" w:type="dxa"/>
            <w:bottom w:w="0" w:type="dxa"/>
            <w:right w:w="2" w:type="dxa"/>
          </w:tblCellMar>
        </w:tblPrEx>
        <w:trPr>
          <w:trHeight w:val="267" w:hRule="atLeast"/>
          <w:jc w:val="center"/>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right="79"/>
              <w:jc w:val="center"/>
              <w:rPr>
                <w:kern w:val="0"/>
                <w:szCs w:val="20"/>
              </w:rPr>
            </w:pPr>
            <w:r>
              <w:rPr>
                <w:rFonts w:ascii="宋体" w:hAnsi="宋体" w:eastAsia="宋体" w:cs="宋体"/>
                <w:kern w:val="0"/>
                <w:sz w:val="21"/>
                <w:szCs w:val="20"/>
              </w:rPr>
              <w:t>7.教学</w:t>
            </w:r>
            <w:r>
              <w:rPr>
                <w:rFonts w:hint="eastAsia" w:ascii="宋体" w:hAnsi="宋体" w:eastAsia="宋体" w:cs="宋体"/>
                <w:kern w:val="0"/>
                <w:sz w:val="21"/>
                <w:szCs w:val="20"/>
              </w:rPr>
              <w:br w:type="textWrapping"/>
            </w:r>
            <w:r>
              <w:rPr>
                <w:rFonts w:ascii="宋体" w:hAnsi="宋体" w:eastAsia="宋体" w:cs="宋体"/>
                <w:kern w:val="0"/>
                <w:sz w:val="21"/>
                <w:szCs w:val="20"/>
              </w:rPr>
              <w:t>成效</w:t>
            </w: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173"/>
              <w:rPr>
                <w:kern w:val="0"/>
                <w:sz w:val="21"/>
                <w:szCs w:val="21"/>
              </w:rPr>
            </w:pPr>
            <w:r>
              <w:rPr>
                <w:rFonts w:ascii="宋体" w:hAnsi="宋体" w:eastAsia="宋体" w:cs="宋体"/>
                <w:kern w:val="0"/>
                <w:sz w:val="21"/>
                <w:szCs w:val="21"/>
              </w:rPr>
              <w:t>7.1达成度</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7.1.1 学校各专业人才培养目标的达成情况</w:t>
            </w:r>
          </w:p>
        </w:tc>
      </w:tr>
      <w:tr>
        <w:tblPrEx>
          <w:tblCellMar>
            <w:top w:w="65" w:type="dxa"/>
            <w:left w:w="108" w:type="dxa"/>
            <w:bottom w:w="0" w:type="dxa"/>
            <w:right w:w="2" w:type="dxa"/>
          </w:tblCellMar>
        </w:tblPrEx>
        <w:trPr>
          <w:trHeight w:val="31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7.1.2 毕业生质量持续跟踪评价机制建立情况及跟踪评价结果</w:t>
            </w:r>
          </w:p>
        </w:tc>
      </w:tr>
      <w:tr>
        <w:tblPrEx>
          <w:tblCellMar>
            <w:top w:w="65" w:type="dxa"/>
            <w:left w:w="108" w:type="dxa"/>
            <w:bottom w:w="0" w:type="dxa"/>
            <w:right w:w="2" w:type="dxa"/>
          </w:tblCellMar>
        </w:tblPrEx>
        <w:trPr>
          <w:trHeight w:val="285"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173"/>
              <w:rPr>
                <w:kern w:val="0"/>
                <w:sz w:val="21"/>
                <w:szCs w:val="21"/>
              </w:rPr>
            </w:pPr>
            <w:r>
              <w:rPr>
                <w:rFonts w:ascii="宋体" w:hAnsi="宋体" w:eastAsia="宋体" w:cs="宋体"/>
                <w:kern w:val="0"/>
                <w:sz w:val="21"/>
                <w:szCs w:val="21"/>
              </w:rPr>
              <w:t>7.2适应度</w:t>
            </w:r>
          </w:p>
        </w:tc>
        <w:tc>
          <w:tcPr>
            <w:tcW w:w="6032" w:type="dxa"/>
            <w:tcBorders>
              <w:top w:val="single" w:color="000000"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7.2.1 学校本科生源状况</w:t>
            </w:r>
            <w:r>
              <w:rPr>
                <w:rFonts w:hint="eastAsia" w:ascii="宋体" w:hAnsi="宋体" w:eastAsia="宋体" w:cs="宋体"/>
                <w:bCs/>
                <w:kern w:val="0"/>
                <w:sz w:val="21"/>
                <w:szCs w:val="21"/>
              </w:rPr>
              <w:t>（包括生源国际化情况）</w:t>
            </w:r>
          </w:p>
        </w:tc>
      </w:tr>
      <w:tr>
        <w:tblPrEx>
          <w:tblCellMar>
            <w:top w:w="65" w:type="dxa"/>
            <w:left w:w="108" w:type="dxa"/>
            <w:bottom w:w="0" w:type="dxa"/>
            <w:right w:w="2" w:type="dxa"/>
          </w:tblCellMar>
        </w:tblPrEx>
        <w:trPr>
          <w:trHeight w:val="1023"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rPr>
                <w:kern w:val="0"/>
                <w:sz w:val="21"/>
                <w:szCs w:val="21"/>
              </w:rPr>
            </w:pPr>
            <w:r>
              <w:rPr>
                <w:rFonts w:ascii="宋体" w:hAnsi="宋体" w:eastAsia="宋体" w:cs="宋体"/>
                <w:kern w:val="0"/>
                <w:sz w:val="21"/>
                <w:szCs w:val="21"/>
              </w:rPr>
              <w:t>B7.2.2</w:t>
            </w:r>
            <w:r>
              <w:rPr>
                <w:rFonts w:hint="eastAsia" w:ascii="宋体" w:hAnsi="宋体" w:eastAsia="宋体" w:cs="宋体"/>
                <w:kern w:val="0"/>
                <w:sz w:val="21"/>
                <w:szCs w:val="21"/>
              </w:rPr>
              <w:t xml:space="preserve"> </w:t>
            </w:r>
            <w:r>
              <w:rPr>
                <w:rFonts w:ascii="宋体" w:hAnsi="宋体" w:eastAsia="宋体" w:cs="宋体"/>
                <w:kern w:val="0"/>
                <w:sz w:val="21"/>
                <w:szCs w:val="21"/>
              </w:rPr>
              <w:t>毕业生面向国家和经济社会发展需要就业情况、就业质量和职业发展情况</w:t>
            </w:r>
          </w:p>
          <w:p>
            <w:pPr>
              <w:topLinePunct/>
              <w:spacing w:line="260" w:lineRule="exact"/>
              <w:rPr>
                <w:kern w:val="0"/>
                <w:sz w:val="21"/>
                <w:szCs w:val="21"/>
              </w:rPr>
            </w:pPr>
            <w:r>
              <w:rPr>
                <w:rFonts w:ascii="宋体" w:hAnsi="宋体" w:eastAsia="宋体" w:cs="宋体"/>
                <w:kern w:val="0"/>
                <w:sz w:val="21"/>
                <w:szCs w:val="21"/>
              </w:rPr>
              <w:t>【可选】升学率（含国内与国外）</w:t>
            </w:r>
          </w:p>
          <w:p>
            <w:pPr>
              <w:topLinePunct/>
              <w:spacing w:line="260" w:lineRule="exact"/>
              <w:rPr>
                <w:kern w:val="0"/>
                <w:sz w:val="21"/>
                <w:szCs w:val="21"/>
              </w:rPr>
            </w:pPr>
            <w:r>
              <w:rPr>
                <w:rFonts w:ascii="宋体" w:hAnsi="宋体" w:eastAsia="宋体" w:cs="宋体"/>
                <w:kern w:val="0"/>
                <w:sz w:val="21"/>
                <w:szCs w:val="21"/>
              </w:rPr>
              <w:t>【可选】应届本科生初次就业率及结构</w:t>
            </w:r>
          </w:p>
        </w:tc>
      </w:tr>
      <w:tr>
        <w:tblPrEx>
          <w:tblCellMar>
            <w:top w:w="65" w:type="dxa"/>
            <w:left w:w="108" w:type="dxa"/>
            <w:bottom w:w="0" w:type="dxa"/>
            <w:right w:w="2" w:type="dxa"/>
          </w:tblCellMar>
        </w:tblPrEx>
        <w:trPr>
          <w:trHeight w:val="106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173"/>
              <w:rPr>
                <w:kern w:val="0"/>
                <w:sz w:val="21"/>
                <w:szCs w:val="21"/>
              </w:rPr>
            </w:pPr>
            <w:r>
              <w:rPr>
                <w:rFonts w:ascii="宋体" w:hAnsi="宋体" w:eastAsia="宋体" w:cs="宋体"/>
                <w:kern w:val="0"/>
                <w:sz w:val="21"/>
                <w:szCs w:val="21"/>
              </w:rPr>
              <w:t>7.3保障度</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7.3.1 教学经费以及教室、实验室、图书馆、体育场馆、艺术场馆等资源条件满足教学需要情况</w:t>
            </w:r>
          </w:p>
          <w:p>
            <w:pPr>
              <w:topLinePunct/>
              <w:spacing w:line="260" w:lineRule="exact"/>
              <w:rPr>
                <w:kern w:val="0"/>
                <w:sz w:val="21"/>
                <w:szCs w:val="21"/>
              </w:rPr>
            </w:pPr>
            <w:r>
              <w:rPr>
                <w:rFonts w:ascii="宋体" w:hAnsi="宋体" w:eastAsia="宋体" w:cs="宋体"/>
                <w:kern w:val="0"/>
                <w:sz w:val="21"/>
                <w:szCs w:val="21"/>
              </w:rPr>
              <w:t>【必选】生均本科实验经费（元）</w:t>
            </w:r>
          </w:p>
          <w:p>
            <w:pPr>
              <w:topLinePunct/>
              <w:spacing w:line="260" w:lineRule="exact"/>
              <w:rPr>
                <w:kern w:val="0"/>
                <w:sz w:val="21"/>
                <w:szCs w:val="21"/>
              </w:rPr>
            </w:pPr>
            <w:r>
              <w:rPr>
                <w:rFonts w:ascii="宋体" w:hAnsi="宋体" w:eastAsia="宋体" w:cs="宋体"/>
                <w:kern w:val="0"/>
                <w:sz w:val="21"/>
                <w:szCs w:val="21"/>
              </w:rPr>
              <w:t>【必选】生均本科实习经费（元）</w:t>
            </w:r>
          </w:p>
        </w:tc>
      </w:tr>
      <w:tr>
        <w:tblPrEx>
          <w:tblCellMar>
            <w:top w:w="65" w:type="dxa"/>
            <w:left w:w="108" w:type="dxa"/>
            <w:bottom w:w="0" w:type="dxa"/>
            <w:right w:w="2" w:type="dxa"/>
          </w:tblCellMar>
        </w:tblPrEx>
        <w:trPr>
          <w:trHeight w:val="1053"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7.3.2 教师的数量、结构、教学水平、产学研用能力、国际视野、教学投入等满足人才培养需要情况</w:t>
            </w:r>
          </w:p>
          <w:p>
            <w:pPr>
              <w:topLinePunct/>
              <w:spacing w:line="260" w:lineRule="exact"/>
              <w:rPr>
                <w:kern w:val="0"/>
                <w:sz w:val="21"/>
                <w:szCs w:val="21"/>
              </w:rPr>
            </w:pPr>
            <w:r>
              <w:rPr>
                <w:rFonts w:ascii="宋体" w:hAnsi="宋体" w:eastAsia="宋体" w:cs="宋体"/>
                <w:kern w:val="0"/>
                <w:sz w:val="21"/>
                <w:szCs w:val="21"/>
              </w:rPr>
              <w:t>【必选】生师比（要求见备注10）</w:t>
            </w:r>
          </w:p>
          <w:p>
            <w:pPr>
              <w:topLinePunct/>
              <w:spacing w:line="260" w:lineRule="exact"/>
              <w:rPr>
                <w:kern w:val="0"/>
                <w:sz w:val="21"/>
                <w:szCs w:val="21"/>
              </w:rPr>
            </w:pPr>
            <w:r>
              <w:rPr>
                <w:rFonts w:ascii="宋体" w:hAnsi="宋体" w:eastAsia="宋体" w:cs="宋体"/>
                <w:kern w:val="0"/>
                <w:sz w:val="21"/>
                <w:szCs w:val="21"/>
              </w:rPr>
              <w:t>【必选】具有硕士学位、博士学位教师占专任教师比例≥50%</w:t>
            </w:r>
          </w:p>
        </w:tc>
      </w:tr>
      <w:tr>
        <w:tblPrEx>
          <w:tblCellMar>
            <w:top w:w="65" w:type="dxa"/>
            <w:left w:w="108" w:type="dxa"/>
            <w:bottom w:w="0" w:type="dxa"/>
            <w:right w:w="2" w:type="dxa"/>
          </w:tblCellMar>
        </w:tblPrEx>
        <w:trPr>
          <w:trHeight w:val="146"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173"/>
              <w:rPr>
                <w:kern w:val="0"/>
                <w:sz w:val="21"/>
                <w:szCs w:val="21"/>
              </w:rPr>
            </w:pPr>
            <w:r>
              <w:rPr>
                <w:rFonts w:ascii="宋体" w:hAnsi="宋体" w:eastAsia="宋体" w:cs="宋体"/>
                <w:kern w:val="0"/>
                <w:sz w:val="21"/>
                <w:szCs w:val="21"/>
              </w:rPr>
              <w:t>7.4有效度</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7.4.1 学校人才培养各环节有序运行情况</w:t>
            </w:r>
          </w:p>
        </w:tc>
      </w:tr>
      <w:tr>
        <w:tblPrEx>
          <w:tblCellMar>
            <w:top w:w="65" w:type="dxa"/>
            <w:left w:w="108" w:type="dxa"/>
            <w:bottom w:w="0" w:type="dxa"/>
            <w:right w:w="2" w:type="dxa"/>
          </w:tblCellMar>
        </w:tblPrEx>
        <w:trPr>
          <w:trHeight w:val="126"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7.4.2 学校人才培养工作持续改进、持续提升情况</w:t>
            </w:r>
          </w:p>
        </w:tc>
      </w:tr>
      <w:tr>
        <w:tblPrEx>
          <w:tblCellMar>
            <w:top w:w="65" w:type="dxa"/>
            <w:left w:w="108" w:type="dxa"/>
            <w:bottom w:w="0" w:type="dxa"/>
            <w:right w:w="2" w:type="dxa"/>
          </w:tblCellMar>
        </w:tblPrEx>
        <w:trPr>
          <w:trHeight w:val="20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7.4.3 近五年专业领域的优秀毕业生十个典型案例及培养经验</w:t>
            </w:r>
          </w:p>
        </w:tc>
      </w:tr>
      <w:tr>
        <w:tblPrEx>
          <w:tblCellMar>
            <w:top w:w="65" w:type="dxa"/>
            <w:left w:w="108" w:type="dxa"/>
            <w:bottom w:w="0" w:type="dxa"/>
            <w:right w:w="2" w:type="dxa"/>
          </w:tblCellMar>
        </w:tblPrEx>
        <w:trPr>
          <w:trHeight w:val="311"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left="173"/>
              <w:rPr>
                <w:kern w:val="0"/>
                <w:sz w:val="21"/>
                <w:szCs w:val="21"/>
              </w:rPr>
            </w:pPr>
            <w:r>
              <w:rPr>
                <w:rFonts w:ascii="宋体" w:hAnsi="宋体" w:eastAsia="宋体" w:cs="宋体"/>
                <w:kern w:val="0"/>
                <w:sz w:val="21"/>
                <w:szCs w:val="21"/>
              </w:rPr>
              <w:t>7.5满意度</w:t>
            </w: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7.5.1 学生（毕业生与在校生）对学习与成长的满意度</w:t>
            </w:r>
          </w:p>
        </w:tc>
      </w:tr>
      <w:tr>
        <w:tblPrEx>
          <w:tblCellMar>
            <w:top w:w="65" w:type="dxa"/>
            <w:left w:w="108" w:type="dxa"/>
            <w:bottom w:w="0" w:type="dxa"/>
            <w:right w:w="2" w:type="dxa"/>
          </w:tblCellMar>
        </w:tblPrEx>
        <w:trPr>
          <w:trHeight w:val="297"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7.5.2 教师对学校教育教学工作的满意度</w:t>
            </w:r>
          </w:p>
        </w:tc>
      </w:tr>
      <w:tr>
        <w:tblPrEx>
          <w:tblCellMar>
            <w:top w:w="65" w:type="dxa"/>
            <w:left w:w="108" w:type="dxa"/>
            <w:bottom w:w="0" w:type="dxa"/>
            <w:right w:w="2" w:type="dxa"/>
          </w:tblCellMar>
        </w:tblPrEx>
        <w:trPr>
          <w:trHeight w:val="263"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Cs w:val="20"/>
              </w:rPr>
            </w:pPr>
          </w:p>
        </w:tc>
        <w:tc>
          <w:tcPr>
            <w:tcW w:w="1591"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rPr>
                <w:kern w:val="0"/>
                <w:sz w:val="21"/>
                <w:szCs w:val="21"/>
              </w:rPr>
            </w:pPr>
          </w:p>
        </w:tc>
        <w:tc>
          <w:tcPr>
            <w:tcW w:w="6032" w:type="dxa"/>
            <w:tcBorders>
              <w:top w:val="single" w:color="000000" w:sz="4" w:space="0"/>
              <w:left w:val="single" w:color="000000" w:sz="4" w:space="0"/>
              <w:bottom w:val="single" w:color="000000" w:sz="4" w:space="0"/>
              <w:right w:val="single" w:color="000000" w:sz="4" w:space="0"/>
            </w:tcBorders>
            <w:noWrap w:val="0"/>
            <w:vAlign w:val="top"/>
          </w:tcPr>
          <w:p>
            <w:pPr>
              <w:topLinePunct/>
              <w:spacing w:line="260" w:lineRule="exact"/>
              <w:rPr>
                <w:kern w:val="0"/>
                <w:sz w:val="21"/>
                <w:szCs w:val="21"/>
              </w:rPr>
            </w:pPr>
            <w:r>
              <w:rPr>
                <w:rFonts w:ascii="宋体" w:hAnsi="宋体" w:eastAsia="宋体" w:cs="宋体"/>
                <w:kern w:val="0"/>
                <w:sz w:val="21"/>
                <w:szCs w:val="21"/>
              </w:rPr>
              <w:t>7.5.3 用人单位的满意度</w:t>
            </w:r>
          </w:p>
        </w:tc>
      </w:tr>
      <w:tr>
        <w:tblPrEx>
          <w:tblCellMar>
            <w:top w:w="65" w:type="dxa"/>
            <w:left w:w="108" w:type="dxa"/>
            <w:bottom w:w="0" w:type="dxa"/>
            <w:right w:w="2" w:type="dxa"/>
          </w:tblCellMar>
        </w:tblPrEx>
        <w:trPr>
          <w:trHeight w:val="392" w:hRule="atLeast"/>
          <w:jc w:val="center"/>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right="79"/>
              <w:jc w:val="center"/>
              <w:rPr>
                <w:rFonts w:ascii="宋体" w:hAnsi="宋体" w:eastAsia="宋体" w:cs="宋体"/>
                <w:bCs/>
                <w:kern w:val="0"/>
                <w:sz w:val="21"/>
                <w:szCs w:val="20"/>
              </w:rPr>
            </w:pPr>
            <w:r>
              <w:rPr>
                <w:rFonts w:hint="eastAsia" w:ascii="宋体" w:hAnsi="宋体" w:eastAsia="宋体" w:cs="宋体"/>
                <w:bCs/>
                <w:kern w:val="0"/>
                <w:sz w:val="21"/>
                <w:szCs w:val="20"/>
              </w:rPr>
              <w:t>8</w:t>
            </w:r>
            <w:r>
              <w:rPr>
                <w:rFonts w:ascii="宋体" w:hAnsi="宋体" w:eastAsia="宋体" w:cs="宋体"/>
                <w:bCs/>
                <w:kern w:val="0"/>
                <w:sz w:val="21"/>
                <w:szCs w:val="20"/>
              </w:rPr>
              <w:t>.</w:t>
            </w:r>
            <w:r>
              <w:rPr>
                <w:rFonts w:hint="eastAsia" w:ascii="宋体" w:hAnsi="宋体" w:eastAsia="宋体" w:cs="宋体"/>
                <w:bCs/>
                <w:kern w:val="0"/>
                <w:sz w:val="21"/>
                <w:szCs w:val="20"/>
              </w:rPr>
              <w:t>分类发展</w:t>
            </w:r>
          </w:p>
        </w:tc>
        <w:tc>
          <w:tcPr>
            <w:tcW w:w="1591" w:type="dxa"/>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right="79"/>
              <w:jc w:val="center"/>
              <w:rPr>
                <w:rFonts w:hint="eastAsia" w:ascii="宋体" w:hAnsi="宋体" w:eastAsia="宋体" w:cs="宋体"/>
                <w:bCs/>
                <w:kern w:val="0"/>
                <w:sz w:val="21"/>
                <w:szCs w:val="21"/>
              </w:rPr>
            </w:pPr>
            <w:r>
              <w:rPr>
                <w:rFonts w:hint="eastAsia" w:ascii="宋体" w:hAnsi="宋体" w:eastAsia="宋体" w:cs="宋体"/>
                <w:bCs/>
                <w:kern w:val="0"/>
                <w:sz w:val="21"/>
                <w:szCs w:val="21"/>
              </w:rPr>
              <w:t>8.1服务面向</w:t>
            </w:r>
          </w:p>
        </w:tc>
        <w:tc>
          <w:tcPr>
            <w:tcW w:w="6032" w:type="dxa"/>
            <w:tcBorders>
              <w:top w:val="single" w:color="auto" w:sz="4" w:space="0"/>
              <w:left w:val="single" w:color="000000" w:sz="4" w:space="0"/>
              <w:bottom w:val="single" w:color="auto" w:sz="4" w:space="0"/>
              <w:right w:val="single" w:color="000000" w:sz="4" w:space="0"/>
            </w:tcBorders>
            <w:noWrap w:val="0"/>
            <w:vAlign w:val="center"/>
          </w:tcPr>
          <w:p>
            <w:pPr>
              <w:topLinePunct/>
              <w:spacing w:line="260" w:lineRule="exact"/>
              <w:ind w:right="79"/>
              <w:rPr>
                <w:rFonts w:ascii="宋体" w:hAnsi="宋体" w:eastAsia="宋体" w:cs="宋体"/>
                <w:bCs/>
                <w:kern w:val="0"/>
                <w:sz w:val="21"/>
                <w:szCs w:val="21"/>
              </w:rPr>
            </w:pPr>
            <w:r>
              <w:rPr>
                <w:rFonts w:hint="eastAsia" w:ascii="宋体" w:hAnsi="宋体" w:eastAsia="宋体" w:cs="宋体"/>
                <w:bCs/>
                <w:kern w:val="0"/>
                <w:sz w:val="21"/>
                <w:szCs w:val="21"/>
              </w:rPr>
              <w:t>8</w:t>
            </w:r>
            <w:r>
              <w:rPr>
                <w:rFonts w:ascii="宋体" w:hAnsi="宋体" w:eastAsia="宋体" w:cs="宋体"/>
                <w:bCs/>
                <w:kern w:val="0"/>
                <w:sz w:val="21"/>
                <w:szCs w:val="21"/>
              </w:rPr>
              <w:t>.1.1</w:t>
            </w:r>
            <w:r>
              <w:rPr>
                <w:rFonts w:hint="eastAsia" w:ascii="宋体" w:hAnsi="宋体" w:eastAsia="宋体" w:cs="宋体"/>
                <w:bCs/>
                <w:kern w:val="0"/>
                <w:sz w:val="21"/>
                <w:szCs w:val="21"/>
              </w:rPr>
              <w:t>围绕服务国家重大战略和北京“四个中心”建设发展目标开展的工作</w:t>
            </w:r>
          </w:p>
        </w:tc>
      </w:tr>
      <w:tr>
        <w:tblPrEx>
          <w:tblCellMar>
            <w:top w:w="65" w:type="dxa"/>
            <w:left w:w="108" w:type="dxa"/>
            <w:bottom w:w="0" w:type="dxa"/>
            <w:right w:w="2" w:type="dxa"/>
          </w:tblCellMar>
        </w:tblPrEx>
        <w:trPr>
          <w:trHeight w:val="90" w:hRule="atLeast"/>
          <w:jc w:val="center"/>
        </w:trPr>
        <w:tc>
          <w:tcPr>
            <w:tcW w:w="1242" w:type="dxa"/>
            <w:vMerge w:val="continue"/>
            <w:tcBorders>
              <w:top w:val="single" w:color="auto" w:sz="4" w:space="0"/>
              <w:left w:val="single" w:color="000000" w:sz="4" w:space="0"/>
              <w:bottom w:val="single" w:color="auto" w:sz="4" w:space="0"/>
              <w:right w:val="single" w:color="000000" w:sz="4" w:space="0"/>
            </w:tcBorders>
            <w:noWrap w:val="0"/>
            <w:vAlign w:val="top"/>
          </w:tcPr>
          <w:p>
            <w:pPr>
              <w:topLinePunct/>
              <w:spacing w:line="260" w:lineRule="exact"/>
              <w:ind w:right="79"/>
              <w:jc w:val="center"/>
              <w:rPr>
                <w:bCs/>
                <w:kern w:val="0"/>
                <w:szCs w:val="20"/>
              </w:rPr>
            </w:pPr>
          </w:p>
        </w:tc>
        <w:tc>
          <w:tcPr>
            <w:tcW w:w="1591" w:type="dxa"/>
            <w:tcBorders>
              <w:top w:val="single" w:color="auto" w:sz="4" w:space="0"/>
              <w:left w:val="single" w:color="000000" w:sz="4" w:space="0"/>
              <w:bottom w:val="single" w:color="000000" w:sz="4" w:space="0"/>
              <w:right w:val="single" w:color="000000" w:sz="4" w:space="0"/>
            </w:tcBorders>
            <w:noWrap w:val="0"/>
            <w:vAlign w:val="center"/>
          </w:tcPr>
          <w:p>
            <w:pPr>
              <w:topLinePunct/>
              <w:spacing w:line="260" w:lineRule="exact"/>
              <w:ind w:right="79"/>
              <w:jc w:val="center"/>
              <w:rPr>
                <w:rFonts w:hint="eastAsia" w:eastAsia="宋体"/>
                <w:bCs/>
                <w:kern w:val="0"/>
                <w:sz w:val="21"/>
                <w:szCs w:val="21"/>
              </w:rPr>
            </w:pPr>
            <w:r>
              <w:rPr>
                <w:rFonts w:hint="eastAsia" w:ascii="宋体" w:hAnsi="宋体" w:eastAsia="宋体" w:cs="宋体"/>
                <w:bCs/>
                <w:kern w:val="0"/>
                <w:sz w:val="21"/>
                <w:szCs w:val="21"/>
              </w:rPr>
              <w:t>8</w:t>
            </w:r>
            <w:r>
              <w:rPr>
                <w:rFonts w:ascii="宋体" w:hAnsi="宋体" w:eastAsia="宋体" w:cs="宋体"/>
                <w:bCs/>
                <w:kern w:val="0"/>
                <w:sz w:val="21"/>
                <w:szCs w:val="21"/>
              </w:rPr>
              <w:t>.2</w:t>
            </w:r>
            <w:r>
              <w:rPr>
                <w:rFonts w:hint="eastAsia" w:ascii="宋体" w:hAnsi="宋体" w:eastAsia="宋体" w:cs="宋体"/>
                <w:bCs/>
                <w:kern w:val="0"/>
                <w:sz w:val="21"/>
                <w:szCs w:val="21"/>
              </w:rPr>
              <w:t>特色工作</w:t>
            </w:r>
          </w:p>
        </w:tc>
        <w:tc>
          <w:tcPr>
            <w:tcW w:w="6032" w:type="dxa"/>
            <w:tcBorders>
              <w:top w:val="single" w:color="auto" w:sz="4" w:space="0"/>
              <w:left w:val="single" w:color="000000" w:sz="4" w:space="0"/>
              <w:bottom w:val="single" w:color="000000" w:sz="4" w:space="0"/>
              <w:right w:val="single" w:color="000000" w:sz="4" w:space="0"/>
            </w:tcBorders>
            <w:noWrap w:val="0"/>
            <w:vAlign w:val="center"/>
          </w:tcPr>
          <w:p>
            <w:pPr>
              <w:topLinePunct/>
              <w:spacing w:line="260" w:lineRule="exact"/>
              <w:rPr>
                <w:rFonts w:ascii="宋体" w:hAnsi="宋体" w:eastAsia="宋体" w:cs="宋体"/>
                <w:bCs/>
                <w:kern w:val="0"/>
                <w:sz w:val="21"/>
                <w:szCs w:val="21"/>
              </w:rPr>
            </w:pPr>
            <w:r>
              <w:rPr>
                <w:rFonts w:hint="eastAsia" w:ascii="宋体" w:hAnsi="宋体" w:eastAsia="宋体" w:cs="宋体"/>
                <w:bCs/>
                <w:kern w:val="0"/>
                <w:sz w:val="21"/>
                <w:szCs w:val="21"/>
              </w:rPr>
              <w:t>8</w:t>
            </w:r>
            <w:r>
              <w:rPr>
                <w:rFonts w:ascii="宋体" w:hAnsi="宋体" w:eastAsia="宋体" w:cs="宋体"/>
                <w:bCs/>
                <w:kern w:val="0"/>
                <w:sz w:val="21"/>
                <w:szCs w:val="21"/>
              </w:rPr>
              <w:t>.2.1</w:t>
            </w:r>
            <w:r>
              <w:rPr>
                <w:rFonts w:hint="eastAsia" w:ascii="宋体" w:hAnsi="宋体" w:eastAsia="宋体" w:cs="宋体"/>
                <w:bCs/>
                <w:kern w:val="0"/>
                <w:sz w:val="21"/>
                <w:szCs w:val="21"/>
              </w:rPr>
              <w:t>基于市属高校分类发展方案开展的特色工作</w:t>
            </w:r>
          </w:p>
        </w:tc>
      </w:tr>
    </w:tbl>
    <w:p>
      <w:pPr>
        <w:topLinePunct/>
        <w:spacing w:line="300" w:lineRule="exact"/>
        <w:rPr>
          <w:rFonts w:hint="eastAsia" w:ascii="仿宋" w:hAnsi="仿宋" w:eastAsia="仿宋" w:cs="仿宋"/>
          <w:b/>
          <w:kern w:val="0"/>
          <w:sz w:val="21"/>
          <w:szCs w:val="21"/>
        </w:rPr>
      </w:pPr>
    </w:p>
    <w:p>
      <w:pPr>
        <w:topLinePunct/>
        <w:spacing w:line="300" w:lineRule="exact"/>
        <w:rPr>
          <w:rFonts w:hint="eastAsia" w:ascii="仿宋" w:hAnsi="仿宋" w:eastAsia="仿宋" w:cs="仿宋"/>
          <w:b/>
          <w:kern w:val="0"/>
          <w:sz w:val="21"/>
          <w:szCs w:val="21"/>
        </w:rPr>
      </w:pPr>
    </w:p>
    <w:p>
      <w:pPr>
        <w:topLinePunct/>
        <w:spacing w:line="300" w:lineRule="exact"/>
        <w:rPr>
          <w:rFonts w:ascii="仿宋" w:hAnsi="仿宋" w:eastAsia="仿宋" w:cs="仿宋"/>
          <w:b/>
          <w:kern w:val="0"/>
          <w:sz w:val="21"/>
          <w:szCs w:val="21"/>
        </w:rPr>
      </w:pPr>
      <w:r>
        <w:rPr>
          <w:rFonts w:hint="eastAsia" w:ascii="仿宋" w:hAnsi="仿宋" w:eastAsia="仿宋" w:cs="仿宋"/>
          <w:b/>
          <w:kern w:val="0"/>
          <w:sz w:val="21"/>
          <w:szCs w:val="21"/>
        </w:rPr>
        <w:t>备注：</w:t>
      </w:r>
    </w:p>
    <w:p>
      <w:pPr>
        <w:topLinePunct/>
        <w:spacing w:line="300" w:lineRule="exact"/>
        <w:ind w:left="6" w:firstLine="422" w:firstLineChars="200"/>
        <w:rPr>
          <w:rFonts w:ascii="仿宋" w:hAnsi="仿宋" w:eastAsia="仿宋" w:cs="仿宋"/>
          <w:b/>
          <w:bCs/>
          <w:kern w:val="0"/>
          <w:sz w:val="21"/>
          <w:szCs w:val="21"/>
        </w:rPr>
      </w:pPr>
      <w:r>
        <w:rPr>
          <w:rFonts w:hint="eastAsia" w:ascii="仿宋" w:hAnsi="仿宋" w:eastAsia="仿宋" w:cs="仿宋"/>
          <w:b/>
          <w:bCs/>
          <w:kern w:val="0"/>
          <w:sz w:val="21"/>
          <w:szCs w:val="21"/>
        </w:rPr>
        <w:t>1. 高水平研究型大学选择该指标体系。</w:t>
      </w:r>
    </w:p>
    <w:p>
      <w:pPr>
        <w:topLinePunct/>
        <w:spacing w:line="300" w:lineRule="exact"/>
        <w:ind w:left="6" w:firstLine="422" w:firstLineChars="200"/>
        <w:rPr>
          <w:rFonts w:ascii="仿宋" w:hAnsi="仿宋" w:eastAsia="仿宋" w:cs="仿宋"/>
          <w:b/>
          <w:bCs/>
          <w:kern w:val="0"/>
          <w:sz w:val="21"/>
          <w:szCs w:val="21"/>
        </w:rPr>
      </w:pPr>
      <w:r>
        <w:rPr>
          <w:rFonts w:hint="eastAsia" w:ascii="仿宋" w:hAnsi="仿宋" w:eastAsia="仿宋" w:cs="仿宋"/>
          <w:b/>
          <w:bCs/>
          <w:kern w:val="0"/>
          <w:sz w:val="21"/>
          <w:szCs w:val="21"/>
        </w:rPr>
        <w:t>2. 二级指标和审核重点包括统一必选项、类型必选项、特色可选项、首评限选项。</w:t>
      </w:r>
    </w:p>
    <w:p>
      <w:pPr>
        <w:topLinePunct/>
        <w:spacing w:line="300" w:lineRule="exact"/>
        <w:ind w:left="6" w:firstLine="422" w:firstLineChars="200"/>
        <w:rPr>
          <w:rFonts w:hint="eastAsia" w:ascii="仿宋" w:hAnsi="仿宋" w:eastAsia="仿宋" w:cs="仿宋"/>
          <w:b/>
          <w:bCs/>
          <w:kern w:val="0"/>
          <w:sz w:val="21"/>
          <w:szCs w:val="21"/>
        </w:rPr>
      </w:pPr>
      <w:r>
        <w:rPr>
          <w:rFonts w:hint="eastAsia" w:ascii="仿宋" w:hAnsi="仿宋" w:eastAsia="仿宋" w:cs="仿宋"/>
          <w:b/>
          <w:bCs/>
          <w:kern w:val="0"/>
          <w:sz w:val="21"/>
          <w:szCs w:val="21"/>
        </w:rPr>
        <w:t>——无特殊标识为所有高校“统一必选项”；</w:t>
      </w:r>
    </w:p>
    <w:p>
      <w:pPr>
        <w:topLinePunct/>
        <w:spacing w:line="300" w:lineRule="exact"/>
        <w:ind w:left="6" w:firstLine="422" w:firstLineChars="200"/>
        <w:rPr>
          <w:rFonts w:hint="eastAsia" w:ascii="仿宋" w:hAnsi="仿宋" w:eastAsia="仿宋" w:cs="仿宋"/>
          <w:b/>
          <w:bCs/>
          <w:kern w:val="0"/>
          <w:sz w:val="21"/>
          <w:szCs w:val="21"/>
        </w:rPr>
      </w:pPr>
      <w:r>
        <w:rPr>
          <w:rFonts w:hint="eastAsia" w:ascii="仿宋" w:hAnsi="仿宋" w:eastAsia="仿宋" w:cs="仿宋"/>
          <w:b/>
          <w:bCs/>
          <w:kern w:val="0"/>
          <w:sz w:val="21"/>
          <w:szCs w:val="21"/>
        </w:rPr>
        <w:t>——标识“B”为本类型大学的“类型必选项目”；</w:t>
      </w:r>
    </w:p>
    <w:p>
      <w:pPr>
        <w:topLinePunct/>
        <w:spacing w:line="300" w:lineRule="exact"/>
        <w:ind w:left="6" w:firstLine="422" w:firstLineChars="200"/>
        <w:rPr>
          <w:rFonts w:hint="eastAsia" w:ascii="仿宋" w:hAnsi="仿宋" w:eastAsia="仿宋" w:cs="仿宋"/>
          <w:b/>
          <w:bCs/>
          <w:kern w:val="0"/>
          <w:sz w:val="21"/>
          <w:szCs w:val="21"/>
        </w:rPr>
      </w:pPr>
      <w:r>
        <w:rPr>
          <w:rFonts w:hint="eastAsia" w:ascii="仿宋" w:hAnsi="仿宋" w:eastAsia="仿宋" w:cs="仿宋"/>
          <w:b/>
          <w:bCs/>
          <w:kern w:val="0"/>
          <w:sz w:val="21"/>
          <w:szCs w:val="21"/>
        </w:rPr>
        <w:t>——标识“K”为本类型大学的“特色可选项”高校可根据办学定位和人才培养目标自主选择。</w:t>
      </w:r>
    </w:p>
    <w:p>
      <w:pPr>
        <w:topLinePunct/>
        <w:spacing w:line="300" w:lineRule="exact"/>
        <w:ind w:left="6" w:firstLine="420" w:firstLineChars="200"/>
        <w:rPr>
          <w:rFonts w:ascii="仿宋" w:hAnsi="仿宋" w:eastAsia="仿宋" w:cs="仿宋"/>
          <w:kern w:val="0"/>
          <w:sz w:val="21"/>
          <w:szCs w:val="21"/>
        </w:rPr>
      </w:pPr>
      <w:r>
        <w:rPr>
          <w:rFonts w:hint="eastAsia" w:ascii="仿宋" w:hAnsi="仿宋" w:eastAsia="仿宋" w:cs="仿宋"/>
          <w:kern w:val="0"/>
          <w:sz w:val="21"/>
          <w:szCs w:val="21"/>
        </w:rPr>
        <w:t>3. 审核重点中定量指标的具体要求可参考国家相关标准。其中，【必选】是指该定量指标学校必须选择；【可选】是指该定量指标学校可根据自身发展需要和实际情况自主选择至少</w:t>
      </w:r>
      <w:r>
        <w:rPr>
          <w:rFonts w:ascii="仿宋" w:hAnsi="仿宋" w:eastAsia="仿宋" w:cs="仿宋"/>
          <w:kern w:val="0"/>
          <w:sz w:val="21"/>
          <w:szCs w:val="21"/>
        </w:rPr>
        <w:t>10</w:t>
      </w:r>
      <w:r>
        <w:rPr>
          <w:rFonts w:hint="eastAsia" w:ascii="仿宋" w:hAnsi="仿宋" w:eastAsia="仿宋" w:cs="仿宋"/>
          <w:kern w:val="0"/>
          <w:sz w:val="21"/>
          <w:szCs w:val="21"/>
        </w:rPr>
        <w:t>项。</w:t>
      </w:r>
    </w:p>
    <w:p>
      <w:pPr>
        <w:topLinePunct/>
        <w:spacing w:line="300" w:lineRule="exact"/>
        <w:ind w:left="6" w:firstLine="420" w:firstLineChars="200"/>
        <w:rPr>
          <w:rFonts w:ascii="仿宋" w:hAnsi="仿宋" w:eastAsia="仿宋" w:cs="仿宋"/>
          <w:kern w:val="0"/>
          <w:sz w:val="21"/>
          <w:szCs w:val="21"/>
        </w:rPr>
      </w:pPr>
      <w:r>
        <w:rPr>
          <w:rFonts w:hint="eastAsia" w:ascii="仿宋" w:hAnsi="仿宋" w:eastAsia="仿宋" w:cs="仿宋"/>
          <w:kern w:val="0"/>
          <w:sz w:val="21"/>
          <w:szCs w:val="21"/>
        </w:rPr>
        <w:t>4. 表中定量指标计算原则上参照《中国教育监测与评价统计指标体系（2020年版）》（教发〔2020〕6号）。</w:t>
      </w:r>
    </w:p>
    <w:p>
      <w:pPr>
        <w:topLinePunct/>
        <w:spacing w:line="300" w:lineRule="exact"/>
        <w:ind w:left="6" w:firstLine="420" w:firstLineChars="200"/>
        <w:rPr>
          <w:rFonts w:ascii="仿宋" w:hAnsi="仿宋" w:eastAsia="仿宋" w:cs="仿宋"/>
          <w:kern w:val="0"/>
          <w:sz w:val="21"/>
          <w:szCs w:val="21"/>
        </w:rPr>
      </w:pPr>
      <w:r>
        <w:rPr>
          <w:rFonts w:hint="eastAsia" w:ascii="仿宋" w:hAnsi="仿宋" w:eastAsia="仿宋" w:cs="仿宋"/>
          <w:kern w:val="0"/>
          <w:sz w:val="21"/>
          <w:szCs w:val="21"/>
        </w:rPr>
        <w:t>5. 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topLinePunct/>
        <w:spacing w:line="300" w:lineRule="exact"/>
        <w:ind w:left="6" w:firstLine="420" w:firstLineChars="200"/>
        <w:rPr>
          <w:rFonts w:ascii="仿宋" w:hAnsi="仿宋" w:eastAsia="仿宋" w:cs="仿宋"/>
          <w:kern w:val="0"/>
          <w:sz w:val="21"/>
          <w:szCs w:val="21"/>
        </w:rPr>
      </w:pPr>
      <w:r>
        <w:rPr>
          <w:rFonts w:hint="eastAsia" w:ascii="仿宋" w:hAnsi="仿宋" w:eastAsia="仿宋" w:cs="仿宋"/>
          <w:kern w:val="0"/>
          <w:sz w:val="21"/>
          <w:szCs w:val="21"/>
        </w:rPr>
        <w:t>6. 年新增教学科研仪器设备所占比例（参照教育部教发〔2004〕2号文件）：年新增教学科研仪器设备所占比例≥10%。凡教学仪器设备总值超过1亿元的高校，当年新增教学仪器设备值超过1000万元，该项指标即为合格。</w:t>
      </w:r>
    </w:p>
    <w:p>
      <w:pPr>
        <w:topLinePunct/>
        <w:spacing w:line="300" w:lineRule="exact"/>
        <w:ind w:left="6" w:firstLine="420" w:firstLineChars="200"/>
        <w:rPr>
          <w:rFonts w:ascii="仿宋" w:hAnsi="仿宋" w:eastAsia="仿宋" w:cs="仿宋"/>
          <w:kern w:val="0"/>
          <w:sz w:val="21"/>
          <w:szCs w:val="21"/>
        </w:rPr>
      </w:pPr>
      <w:r>
        <w:rPr>
          <w:rFonts w:hint="eastAsia" w:ascii="仿宋" w:hAnsi="仿宋" w:eastAsia="仿宋" w:cs="仿宋"/>
          <w:kern w:val="0"/>
          <w:sz w:val="21"/>
          <w:szCs w:val="21"/>
        </w:rPr>
        <w:t>7. 生均教学科研仪器设备值=普通高校教学与科研仪器设备总资产值/折合在校生数（参照教育部教发〔2004〕2号文件），综合、师范、民族院校，工科、农、林院校和医学院校≥5000元/生，体育、艺术院校≥4000元/生，语文、财经、政法院校≥3000元/生。</w:t>
      </w:r>
    </w:p>
    <w:p>
      <w:pPr>
        <w:topLinePunct/>
        <w:spacing w:line="300" w:lineRule="exact"/>
        <w:ind w:left="6" w:firstLine="422" w:firstLineChars="200"/>
        <w:rPr>
          <w:rFonts w:ascii="仿宋" w:hAnsi="仿宋" w:eastAsia="仿宋" w:cs="仿宋"/>
          <w:b/>
          <w:bCs/>
          <w:kern w:val="0"/>
          <w:sz w:val="21"/>
          <w:szCs w:val="21"/>
        </w:rPr>
      </w:pPr>
      <w:r>
        <w:rPr>
          <w:rFonts w:hint="eastAsia" w:ascii="仿宋" w:hAnsi="仿宋" w:eastAsia="仿宋" w:cs="仿宋"/>
          <w:b/>
          <w:bCs/>
          <w:kern w:val="0"/>
          <w:sz w:val="21"/>
          <w:szCs w:val="21"/>
        </w:rPr>
        <w:t>8. 教授、副教授担任专业负责人年限至少满一年方可计算在内。</w:t>
      </w:r>
    </w:p>
    <w:p>
      <w:pPr>
        <w:topLinePunct/>
        <w:spacing w:line="300" w:lineRule="exact"/>
        <w:ind w:left="6" w:firstLine="422" w:firstLineChars="200"/>
        <w:rPr>
          <w:rFonts w:hint="eastAsia" w:ascii="仿宋" w:hAnsi="仿宋" w:eastAsia="仿宋" w:cs="仿宋"/>
          <w:b/>
          <w:bCs/>
          <w:kern w:val="0"/>
          <w:sz w:val="21"/>
          <w:szCs w:val="21"/>
        </w:rPr>
      </w:pPr>
      <w:r>
        <w:rPr>
          <w:rFonts w:ascii="仿宋" w:hAnsi="仿宋" w:eastAsia="仿宋" w:cs="仿宋"/>
          <w:b/>
          <w:bCs/>
          <w:kern w:val="0"/>
          <w:sz w:val="21"/>
          <w:szCs w:val="21"/>
        </w:rPr>
        <w:t xml:space="preserve">9. </w:t>
      </w:r>
      <w:r>
        <w:rPr>
          <w:rFonts w:hint="eastAsia" w:ascii="仿宋" w:hAnsi="仿宋" w:eastAsia="仿宋" w:cs="仿宋"/>
          <w:b/>
          <w:bCs/>
          <w:kern w:val="0"/>
          <w:sz w:val="21"/>
          <w:szCs w:val="21"/>
        </w:rPr>
        <w:t>专职教学质量监控人员：指在校级教学质量监控部门专职负责本科教学质量监控的人员，不包括教学督导人员。专职质量监控人员数量与在校本科生人数比例</w:t>
      </w:r>
      <w:r>
        <w:rPr>
          <w:rFonts w:hint="eastAsia" w:ascii="仿宋_GB2312" w:hAnsi="仿宋" w:cs="仿宋"/>
          <w:b/>
          <w:bCs/>
          <w:kern w:val="0"/>
          <w:sz w:val="21"/>
          <w:szCs w:val="21"/>
        </w:rPr>
        <w:t>≥</w:t>
      </w:r>
      <w:r>
        <w:rPr>
          <w:rFonts w:hint="eastAsia" w:ascii="仿宋" w:hAnsi="仿宋" w:eastAsia="仿宋" w:cs="仿宋"/>
          <w:b/>
          <w:bCs/>
          <w:kern w:val="0"/>
          <w:sz w:val="21"/>
          <w:szCs w:val="21"/>
        </w:rPr>
        <w:t>1:5</w:t>
      </w:r>
      <w:r>
        <w:rPr>
          <w:rFonts w:ascii="仿宋" w:hAnsi="仿宋" w:eastAsia="仿宋" w:cs="仿宋"/>
          <w:b/>
          <w:bCs/>
          <w:kern w:val="0"/>
          <w:sz w:val="21"/>
          <w:szCs w:val="21"/>
        </w:rPr>
        <w:t>000</w:t>
      </w:r>
      <w:r>
        <w:rPr>
          <w:rFonts w:hint="eastAsia" w:ascii="仿宋" w:hAnsi="仿宋" w:eastAsia="仿宋" w:cs="仿宋"/>
          <w:b/>
          <w:bCs/>
          <w:kern w:val="0"/>
          <w:sz w:val="21"/>
          <w:szCs w:val="21"/>
        </w:rPr>
        <w:t>，且至少2名。</w:t>
      </w:r>
    </w:p>
    <w:p>
      <w:pPr>
        <w:topLinePunct/>
        <w:spacing w:line="300" w:lineRule="exact"/>
        <w:ind w:left="6" w:firstLine="420" w:firstLineChars="200"/>
        <w:rPr>
          <w:rFonts w:ascii="仿宋" w:hAnsi="仿宋" w:eastAsia="仿宋" w:cs="仿宋"/>
          <w:kern w:val="0"/>
          <w:sz w:val="21"/>
          <w:szCs w:val="21"/>
        </w:rPr>
      </w:pPr>
      <w:r>
        <w:rPr>
          <w:rFonts w:ascii="仿宋" w:hAnsi="仿宋" w:eastAsia="仿宋" w:cs="仿宋"/>
          <w:kern w:val="0"/>
          <w:sz w:val="21"/>
          <w:szCs w:val="21"/>
        </w:rPr>
        <w:t xml:space="preserve">10. </w:t>
      </w:r>
      <w:r>
        <w:rPr>
          <w:rFonts w:hint="eastAsia" w:ascii="仿宋" w:hAnsi="仿宋" w:eastAsia="仿宋" w:cs="仿宋"/>
          <w:kern w:val="0"/>
          <w:sz w:val="21"/>
          <w:szCs w:val="21"/>
        </w:rPr>
        <w:t>生师比=折合在校生数/专任教师总数（参照教育部教发〔2004〕2号文件），综合、师范、民族院校，工科、农、林院校和语文、财经、政法院校≤18:1；医学院校≤16:1；体育、艺术院校≤11:1。</w:t>
      </w:r>
    </w:p>
    <w:p>
      <w:pPr>
        <w:topLinePunct/>
        <w:spacing w:line="300" w:lineRule="exact"/>
        <w:ind w:left="6" w:firstLine="420" w:firstLineChars="200"/>
        <w:rPr>
          <w:rFonts w:ascii="仿宋" w:hAnsi="仿宋" w:eastAsia="仿宋" w:cs="仿宋"/>
          <w:kern w:val="0"/>
          <w:sz w:val="21"/>
          <w:szCs w:val="21"/>
        </w:rPr>
      </w:pPr>
      <w:r>
        <w:rPr>
          <w:rFonts w:hint="eastAsia" w:ascii="仿宋" w:hAnsi="仿宋" w:eastAsia="仿宋" w:cs="仿宋"/>
          <w:kern w:val="0"/>
          <w:sz w:val="21"/>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topLinePunct/>
        <w:spacing w:line="300" w:lineRule="exact"/>
        <w:ind w:left="6"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sectPr>
      <w:pgSz w:w="11906" w:h="16838"/>
      <w:pgMar w:top="2098" w:right="1474" w:bottom="1984" w:left="1587" w:header="851" w:footer="992" w:gutter="0"/>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FZXiaoBiaoSong-B05S">
    <w:panose1 w:val="02000000000000000000"/>
    <w:charset w:val="86"/>
    <w:family w:val="auto"/>
    <w:pitch w:val="default"/>
    <w:sig w:usb0="A00002BF" w:usb1="184F6CFA" w:usb2="00000012" w:usb3="00000000" w:csb0="00040001" w:csb1="00000000"/>
  </w:font>
  <w:font w:name="黑体-简">
    <w:panose1 w:val="02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A0C83"/>
    <w:rsid w:val="0F59CB0E"/>
    <w:rsid w:val="164F4A7C"/>
    <w:rsid w:val="1DDB0F2C"/>
    <w:rsid w:val="2E17233B"/>
    <w:rsid w:val="2FEF283A"/>
    <w:rsid w:val="3B97EBF5"/>
    <w:rsid w:val="3CC5C195"/>
    <w:rsid w:val="3EFAF761"/>
    <w:rsid w:val="3EFF003F"/>
    <w:rsid w:val="3F9EEB87"/>
    <w:rsid w:val="43FFDDE1"/>
    <w:rsid w:val="4FDD0FBD"/>
    <w:rsid w:val="5D7E4218"/>
    <w:rsid w:val="5DDFF5EF"/>
    <w:rsid w:val="5F2358E8"/>
    <w:rsid w:val="5F7A70C6"/>
    <w:rsid w:val="5FE5D935"/>
    <w:rsid w:val="5FEB0A32"/>
    <w:rsid w:val="67AB1423"/>
    <w:rsid w:val="6EDB9CC8"/>
    <w:rsid w:val="6EF9C4CD"/>
    <w:rsid w:val="6FEF20B5"/>
    <w:rsid w:val="71EFB639"/>
    <w:rsid w:val="72DF0ED3"/>
    <w:rsid w:val="73B9B9BE"/>
    <w:rsid w:val="76BF3042"/>
    <w:rsid w:val="76BF78A3"/>
    <w:rsid w:val="779D5666"/>
    <w:rsid w:val="77BA329B"/>
    <w:rsid w:val="77F759CA"/>
    <w:rsid w:val="7B77A507"/>
    <w:rsid w:val="7B97BCE4"/>
    <w:rsid w:val="7BEDB5DB"/>
    <w:rsid w:val="7BFD88FE"/>
    <w:rsid w:val="7BFFDE5A"/>
    <w:rsid w:val="7C2687EB"/>
    <w:rsid w:val="7D7D7D48"/>
    <w:rsid w:val="7E5ED168"/>
    <w:rsid w:val="7EFFBDE5"/>
    <w:rsid w:val="7F7EBBA0"/>
    <w:rsid w:val="7FFEEF05"/>
    <w:rsid w:val="7FFF7760"/>
    <w:rsid w:val="96F70272"/>
    <w:rsid w:val="9BED61C0"/>
    <w:rsid w:val="9DF730EB"/>
    <w:rsid w:val="B5FF1E84"/>
    <w:rsid w:val="BAFBF66D"/>
    <w:rsid w:val="BBBFA754"/>
    <w:rsid w:val="BD5FEDEA"/>
    <w:rsid w:val="BDEF3898"/>
    <w:rsid w:val="BDF5E350"/>
    <w:rsid w:val="BDFFC828"/>
    <w:rsid w:val="BE862693"/>
    <w:rsid w:val="BF958F63"/>
    <w:rsid w:val="BFBF0F55"/>
    <w:rsid w:val="BFEA0C83"/>
    <w:rsid w:val="BFED796C"/>
    <w:rsid w:val="BFFFD529"/>
    <w:rsid w:val="D7370684"/>
    <w:rsid w:val="D7FE5736"/>
    <w:rsid w:val="DBF712F9"/>
    <w:rsid w:val="DBFC8B4E"/>
    <w:rsid w:val="DFF53DC9"/>
    <w:rsid w:val="E5E3109C"/>
    <w:rsid w:val="E6FCDC8C"/>
    <w:rsid w:val="E7ED7F70"/>
    <w:rsid w:val="E9FF8C58"/>
    <w:rsid w:val="EB7F468D"/>
    <w:rsid w:val="EBFF9281"/>
    <w:rsid w:val="ED39E791"/>
    <w:rsid w:val="EE3F1C91"/>
    <w:rsid w:val="EEDFF9F7"/>
    <w:rsid w:val="EFD5CB98"/>
    <w:rsid w:val="F37DE70F"/>
    <w:rsid w:val="F7B7A1FF"/>
    <w:rsid w:val="F7DF42A2"/>
    <w:rsid w:val="F7DF4B79"/>
    <w:rsid w:val="F7F3C07A"/>
    <w:rsid w:val="FDF7D236"/>
    <w:rsid w:val="FDFF4994"/>
    <w:rsid w:val="FDFF5F58"/>
    <w:rsid w:val="FDFF694F"/>
    <w:rsid w:val="FDFF8CC1"/>
    <w:rsid w:val="FEF5801C"/>
    <w:rsid w:val="FEFFFB10"/>
    <w:rsid w:val="FF3ED80F"/>
    <w:rsid w:val="FF63CB4B"/>
    <w:rsid w:val="FF6B74AB"/>
    <w:rsid w:val="FFD97587"/>
    <w:rsid w:val="FFFF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0"/>
    <w:pPr>
      <w:keepNext/>
      <w:keepLines/>
      <w:spacing w:line="600" w:lineRule="exact"/>
      <w:ind w:left="0" w:leftChars="0" w:firstLine="720" w:firstLineChars="200"/>
      <w:jc w:val="left"/>
      <w:outlineLvl w:val="0"/>
    </w:pPr>
    <w:rPr>
      <w:rFonts w:ascii="Times New Roman" w:hAnsi="Times New Roman" w:eastAsia="黑体" w:cstheme="minorBidi"/>
      <w:bCs/>
      <w:kern w:val="44"/>
      <w:sz w:val="32"/>
      <w:szCs w:val="44"/>
    </w:rPr>
  </w:style>
  <w:style w:type="paragraph" w:styleId="3">
    <w:name w:val="heading 2"/>
    <w:basedOn w:val="1"/>
    <w:next w:val="1"/>
    <w:link w:val="13"/>
    <w:unhideWhenUsed/>
    <w:qFormat/>
    <w:uiPriority w:val="0"/>
    <w:pPr>
      <w:keepNext/>
      <w:keepLines/>
      <w:adjustRightInd w:val="0"/>
      <w:snapToGrid w:val="0"/>
      <w:spacing w:line="560" w:lineRule="exact"/>
      <w:ind w:left="0" w:leftChars="0" w:firstLine="720" w:firstLineChars="200"/>
      <w:jc w:val="left"/>
      <w:outlineLvl w:val="1"/>
    </w:pPr>
    <w:rPr>
      <w:rFonts w:ascii="Times New Roman" w:hAnsi="Times New Roman" w:eastAsia="楷体" w:cstheme="majorBidi"/>
      <w:bCs/>
      <w:sz w:val="32"/>
      <w:szCs w:val="32"/>
    </w:rPr>
  </w:style>
  <w:style w:type="paragraph" w:styleId="4">
    <w:name w:val="heading 3"/>
    <w:basedOn w:val="1"/>
    <w:next w:val="1"/>
    <w:unhideWhenUsed/>
    <w:qFormat/>
    <w:uiPriority w:val="0"/>
    <w:pPr>
      <w:keepNext/>
      <w:keepLines/>
      <w:adjustRightInd w:val="0"/>
      <w:snapToGrid w:val="0"/>
      <w:spacing w:line="560" w:lineRule="exact"/>
      <w:ind w:left="0" w:leftChars="0" w:firstLine="720" w:firstLineChars="200"/>
      <w:jc w:val="left"/>
      <w:outlineLvl w:val="2"/>
    </w:pPr>
    <w:rPr>
      <w:rFonts w:ascii="仿宋" w:hAnsi="仿宋" w:eastAsia="仿宋" w:cstheme="minorBidi"/>
      <w:b/>
      <w:sz w:val="32"/>
      <w:szCs w:val="22"/>
    </w:rPr>
  </w:style>
  <w:style w:type="paragraph" w:styleId="5">
    <w:name w:val="heading 4"/>
    <w:basedOn w:val="1"/>
    <w:next w:val="1"/>
    <w:link w:val="12"/>
    <w:unhideWhenUsed/>
    <w:qFormat/>
    <w:uiPriority w:val="0"/>
    <w:pPr>
      <w:keepNext/>
      <w:keepLines/>
      <w:spacing w:line="600" w:lineRule="exact"/>
      <w:jc w:val="left"/>
      <w:outlineLvl w:val="3"/>
    </w:pPr>
    <w:rPr>
      <w:rFonts w:ascii="Times New Roman" w:hAnsi="Times New Roman" w:eastAsia="仿宋" w:cstheme="majorBidi"/>
      <w:b/>
      <w:bCs/>
      <w:sz w:val="30"/>
      <w:szCs w:val="28"/>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caption"/>
    <w:basedOn w:val="1"/>
    <w:next w:val="1"/>
    <w:unhideWhenUsed/>
    <w:qFormat/>
    <w:uiPriority w:val="0"/>
    <w:pPr>
      <w:spacing w:line="240" w:lineRule="auto"/>
      <w:ind w:firstLine="0" w:firstLineChars="0"/>
      <w:jc w:val="center"/>
    </w:pPr>
    <w:rPr>
      <w:rFonts w:ascii="仿宋" w:hAnsi="仿宋" w:eastAsia="仿宋" w:cstheme="majorBidi"/>
      <w:sz w:val="32"/>
      <w:szCs w:val="20"/>
    </w:rPr>
  </w:style>
  <w:style w:type="paragraph" w:styleId="7">
    <w:name w:val="Title"/>
    <w:basedOn w:val="1"/>
    <w:next w:val="1"/>
    <w:qFormat/>
    <w:uiPriority w:val="0"/>
    <w:pPr>
      <w:adjustRightInd w:val="0"/>
      <w:snapToGrid w:val="0"/>
      <w:spacing w:beforeLines="0" w:beforeAutospacing="0" w:afterLines="0" w:afterAutospacing="0" w:line="700" w:lineRule="exact"/>
      <w:ind w:firstLine="0" w:firstLineChars="0"/>
      <w:jc w:val="center"/>
      <w:outlineLvl w:val="9"/>
    </w:pPr>
    <w:rPr>
      <w:rFonts w:ascii="FZXiaoBiaoSong-B05S" w:hAnsi="FZXiaoBiaoSong-B05S" w:eastAsia="FZXiaoBiaoSong-B05S"/>
      <w:sz w:val="44"/>
    </w:rPr>
  </w:style>
  <w:style w:type="paragraph" w:customStyle="1" w:styleId="10">
    <w:name w:val="标题4"/>
    <w:basedOn w:val="1"/>
    <w:next w:val="1"/>
    <w:qFormat/>
    <w:uiPriority w:val="0"/>
    <w:pPr>
      <w:adjustRightInd w:val="0"/>
      <w:snapToGrid w:val="0"/>
      <w:spacing w:before="240" w:after="120" w:line="400" w:lineRule="exact"/>
      <w:jc w:val="left"/>
    </w:pPr>
    <w:rPr>
      <w:rFonts w:eastAsia="黑体-简"/>
    </w:rPr>
  </w:style>
  <w:style w:type="paragraph" w:customStyle="1" w:styleId="11">
    <w:name w:val="图表"/>
    <w:basedOn w:val="1"/>
    <w:next w:val="1"/>
    <w:qFormat/>
    <w:uiPriority w:val="0"/>
    <w:pPr>
      <w:spacing w:line="560" w:lineRule="exact"/>
      <w:ind w:firstLine="0" w:firstLineChars="0"/>
      <w:jc w:val="center"/>
    </w:pPr>
    <w:rPr>
      <w:rFonts w:ascii="仿宋" w:hAnsi="仿宋" w:eastAsia="仿宋" w:cs="Times New Roman"/>
      <w:sz w:val="32"/>
      <w:szCs w:val="24"/>
    </w:rPr>
  </w:style>
  <w:style w:type="character" w:customStyle="1" w:styleId="12">
    <w:name w:val="标题 4字符"/>
    <w:basedOn w:val="9"/>
    <w:link w:val="5"/>
    <w:qFormat/>
    <w:uiPriority w:val="9"/>
    <w:rPr>
      <w:rFonts w:ascii="Times New Roman" w:hAnsi="Times New Roman" w:eastAsia="仿宋" w:cstheme="majorBidi"/>
      <w:b/>
      <w:bCs/>
      <w:kern w:val="0"/>
      <w:sz w:val="30"/>
      <w:szCs w:val="28"/>
    </w:rPr>
  </w:style>
  <w:style w:type="character" w:customStyle="1" w:styleId="13">
    <w:name w:val="标题 2字符"/>
    <w:basedOn w:val="9"/>
    <w:link w:val="3"/>
    <w:qFormat/>
    <w:uiPriority w:val="9"/>
    <w:rPr>
      <w:rFonts w:ascii="Times New Roman" w:hAnsi="Times New Roman" w:eastAsia="楷体" w:cstheme="majorBidi"/>
      <w:bCs/>
      <w:kern w:val="0"/>
      <w:sz w:val="32"/>
      <w:szCs w:val="32"/>
    </w:rPr>
  </w:style>
  <w:style w:type="character" w:customStyle="1" w:styleId="14">
    <w:name w:val="标题 1字符"/>
    <w:basedOn w:val="9"/>
    <w:link w:val="2"/>
    <w:qFormat/>
    <w:uiPriority w:val="9"/>
    <w:rPr>
      <w:rFonts w:ascii="Times New Roman" w:hAnsi="Times New Roman" w:eastAsia="黑体" w:cstheme="minorBidi"/>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2024-01-22T10:59:00Z</dcterms:created>
  <dc:creator>韩放</dc:creator>
  <cp:lastModifiedBy>韩放</cp:lastModifiedBy>
  <dcterms:modified xsi:type="dcterms:W3CDTF">2024-01-22T11:00:33Z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42B503F12C4646AE2DDAAD659FD53B26_41</vt:lpwstr>
  </property>
</Properties>
</file>